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AC554" w14:textId="5D49B4EB" w:rsidR="0000083E" w:rsidRDefault="0000083E" w:rsidP="0000083E">
      <w:pPr>
        <w:spacing w:line="288" w:lineRule="auto"/>
        <w:ind w:left="-547"/>
        <w:outlineLvl w:val="3"/>
        <w:rPr>
          <w:rFonts w:eastAsia="Calibri" w:cstheme="minorHAnsi"/>
          <w:b/>
          <w:sz w:val="24"/>
          <w:szCs w:val="24"/>
        </w:rPr>
      </w:pPr>
      <w:r w:rsidRPr="0000083E">
        <w:rPr>
          <w:rFonts w:eastAsia="Calibri" w:cstheme="minorHAnsi"/>
          <w:b/>
          <w:sz w:val="24"/>
          <w:szCs w:val="24"/>
        </w:rPr>
        <w:t xml:space="preserve">Student Learning Outcomes for UCORE </w:t>
      </w:r>
      <w:r w:rsidR="008E5170">
        <w:rPr>
          <w:rFonts w:eastAsia="Calibri" w:cstheme="minorHAnsi"/>
          <w:b/>
          <w:sz w:val="24"/>
          <w:szCs w:val="24"/>
        </w:rPr>
        <w:t>EQJS</w:t>
      </w:r>
      <w:r w:rsidRPr="0000083E">
        <w:rPr>
          <w:rFonts w:eastAsia="Calibri" w:cstheme="minorHAnsi"/>
          <w:b/>
          <w:sz w:val="24"/>
          <w:szCs w:val="24"/>
        </w:rPr>
        <w:t xml:space="preserve"> designation</w:t>
      </w:r>
    </w:p>
    <w:p w14:paraId="1A339977" w14:textId="759F50D7" w:rsidR="0000083E" w:rsidRDefault="0000083E" w:rsidP="0000083E">
      <w:pPr>
        <w:spacing w:line="240" w:lineRule="auto"/>
        <w:ind w:left="-547"/>
        <w:contextualSpacing/>
        <w:outlineLvl w:val="3"/>
        <w:rPr>
          <w:rFonts w:eastAsia="Calibri" w:cstheme="minorHAnsi"/>
          <w:bCs/>
          <w:sz w:val="24"/>
          <w:szCs w:val="24"/>
        </w:rPr>
      </w:pPr>
      <w:r w:rsidRPr="007C3EB5">
        <w:rPr>
          <w:rFonts w:eastAsia="Calibri" w:cstheme="minorHAnsi"/>
          <w:bCs/>
          <w:sz w:val="24"/>
          <w:szCs w:val="24"/>
        </w:rPr>
        <w:t>C</w:t>
      </w:r>
      <w:r w:rsidR="00C26323">
        <w:rPr>
          <w:rFonts w:eastAsia="Calibri" w:cstheme="minorHAnsi"/>
          <w:bCs/>
          <w:sz w:val="24"/>
          <w:szCs w:val="24"/>
        </w:rPr>
        <w:t>opy, c</w:t>
      </w:r>
      <w:r w:rsidRPr="007C3EB5">
        <w:rPr>
          <w:rFonts w:eastAsia="Calibri" w:cstheme="minorHAnsi"/>
          <w:bCs/>
          <w:sz w:val="24"/>
          <w:szCs w:val="24"/>
        </w:rPr>
        <w:t>omplete</w:t>
      </w:r>
      <w:r w:rsidR="00C26323">
        <w:rPr>
          <w:rFonts w:eastAsia="Calibri" w:cstheme="minorHAnsi"/>
          <w:bCs/>
          <w:sz w:val="24"/>
          <w:szCs w:val="24"/>
        </w:rPr>
        <w:t>,</w:t>
      </w:r>
      <w:r w:rsidRPr="007C3EB5">
        <w:rPr>
          <w:rFonts w:eastAsia="Calibri" w:cstheme="minorHAnsi"/>
          <w:bCs/>
          <w:sz w:val="24"/>
          <w:szCs w:val="24"/>
        </w:rPr>
        <w:t xml:space="preserve"> and submit the student learning outcomes grid provided </w:t>
      </w:r>
      <w:r w:rsidRPr="007C3EB5">
        <w:rPr>
          <w:rFonts w:eastAsia="Calibri" w:cstheme="minorHAnsi"/>
          <w:bCs/>
          <w:color w:val="FFFFFF" w:themeColor="background1"/>
          <w:sz w:val="24"/>
          <w:szCs w:val="24"/>
          <w:shd w:val="clear" w:color="auto" w:fill="C00000"/>
        </w:rPr>
        <w:t xml:space="preserve">on page </w:t>
      </w:r>
      <w:r w:rsidR="00993FE7" w:rsidRPr="007C3EB5">
        <w:rPr>
          <w:rFonts w:eastAsia="Calibri" w:cstheme="minorHAnsi"/>
          <w:bCs/>
          <w:color w:val="FFFFFF" w:themeColor="background1"/>
          <w:sz w:val="24"/>
          <w:szCs w:val="24"/>
          <w:shd w:val="clear" w:color="auto" w:fill="C00000"/>
        </w:rPr>
        <w:t>two</w:t>
      </w:r>
      <w:r w:rsidRPr="007C3EB5">
        <w:rPr>
          <w:rFonts w:eastAsia="Calibri" w:cstheme="minorHAnsi"/>
          <w:bCs/>
          <w:sz w:val="24"/>
          <w:szCs w:val="24"/>
        </w:rPr>
        <w:t xml:space="preserve"> of this document with any course proposal or renewal request, along with other required materials (syllabus, assignment prompts</w:t>
      </w:r>
      <w:r w:rsidR="007C3EB5" w:rsidRPr="007C3EB5">
        <w:rPr>
          <w:rFonts w:eastAsia="Calibri" w:cstheme="minorHAnsi"/>
          <w:bCs/>
          <w:sz w:val="24"/>
          <w:szCs w:val="24"/>
        </w:rPr>
        <w:t>, renewal form</w:t>
      </w:r>
      <w:r w:rsidRPr="007C3EB5">
        <w:rPr>
          <w:rFonts w:eastAsia="Calibri" w:cstheme="minorHAnsi"/>
          <w:bCs/>
          <w:sz w:val="24"/>
          <w:szCs w:val="24"/>
        </w:rPr>
        <w:t xml:space="preserve">). </w:t>
      </w:r>
    </w:p>
    <w:p w14:paraId="600772C1" w14:textId="18CA5139" w:rsidR="0083051A" w:rsidRDefault="0083051A" w:rsidP="0000083E">
      <w:pPr>
        <w:spacing w:line="240" w:lineRule="auto"/>
        <w:ind w:left="-547"/>
        <w:contextualSpacing/>
        <w:outlineLvl w:val="3"/>
        <w:rPr>
          <w:rFonts w:eastAsia="Calibri" w:cstheme="minorHAnsi"/>
          <w:bCs/>
          <w:sz w:val="24"/>
          <w:szCs w:val="24"/>
        </w:rPr>
      </w:pPr>
    </w:p>
    <w:p w14:paraId="249ABBE5" w14:textId="5ADD69EB" w:rsidR="0083051A" w:rsidRDefault="0083051A" w:rsidP="0000083E">
      <w:pPr>
        <w:spacing w:line="240" w:lineRule="auto"/>
        <w:ind w:left="-547"/>
        <w:contextualSpacing/>
        <w:outlineLvl w:val="3"/>
        <w:rPr>
          <w:rFonts w:eastAsia="Calibri" w:cstheme="minorHAnsi"/>
          <w:bCs/>
          <w:sz w:val="24"/>
          <w:szCs w:val="24"/>
        </w:rPr>
      </w:pPr>
      <w:r>
        <w:rPr>
          <w:rFonts w:eastAsia="Calibri" w:cstheme="minorHAnsi"/>
          <w:bCs/>
          <w:sz w:val="24"/>
          <w:szCs w:val="24"/>
        </w:rPr>
        <w:t xml:space="preserve">Web reference: </w:t>
      </w:r>
      <w:hyperlink r:id="rId7" w:history="1">
        <w:r w:rsidRPr="00095A47">
          <w:rPr>
            <w:rStyle w:val="Hyperlink"/>
            <w:rFonts w:eastAsia="Calibri" w:cstheme="minorHAnsi"/>
            <w:bCs/>
            <w:sz w:val="24"/>
            <w:szCs w:val="24"/>
          </w:rPr>
          <w:t>https://ucore.wsu.edu/faculty/curriculum/eqjs/</w:t>
        </w:r>
      </w:hyperlink>
    </w:p>
    <w:p w14:paraId="5A03827C" w14:textId="77777777" w:rsidR="0000083E" w:rsidRDefault="0000083E" w:rsidP="0000083E">
      <w:pPr>
        <w:spacing w:line="240" w:lineRule="auto"/>
        <w:ind w:left="-547"/>
        <w:contextualSpacing/>
        <w:outlineLvl w:val="3"/>
        <w:rPr>
          <w:rStyle w:val="Strong"/>
          <w:rFonts w:cstheme="minorHAnsi"/>
          <w:color w:val="2A3033"/>
          <w:sz w:val="24"/>
          <w:szCs w:val="24"/>
          <w:bdr w:val="none" w:sz="0" w:space="0" w:color="auto" w:frame="1"/>
        </w:rPr>
      </w:pPr>
    </w:p>
    <w:p w14:paraId="63216D31" w14:textId="573F94D1" w:rsidR="0000083E" w:rsidRPr="0000083E" w:rsidRDefault="008E5170" w:rsidP="0000083E">
      <w:pPr>
        <w:shd w:val="clear" w:color="auto" w:fill="C00000"/>
        <w:spacing w:line="240" w:lineRule="auto"/>
        <w:ind w:left="-547"/>
        <w:contextualSpacing/>
        <w:outlineLvl w:val="3"/>
        <w:rPr>
          <w:rStyle w:val="Strong"/>
          <w:rFonts w:cstheme="minorHAnsi"/>
          <w:i/>
          <w:iCs/>
          <w:color w:val="FFFFFF" w:themeColor="background1"/>
          <w:sz w:val="24"/>
          <w:szCs w:val="24"/>
          <w:bdr w:val="none" w:sz="0" w:space="0" w:color="auto" w:frame="1"/>
        </w:rPr>
      </w:pPr>
      <w:r>
        <w:rPr>
          <w:rStyle w:val="Strong"/>
          <w:rFonts w:cstheme="minorHAnsi"/>
          <w:i/>
          <w:iCs/>
          <w:color w:val="FFFFFF" w:themeColor="background1"/>
          <w:sz w:val="24"/>
          <w:szCs w:val="24"/>
          <w:bdr w:val="none" w:sz="0" w:space="0" w:color="auto" w:frame="1"/>
        </w:rPr>
        <w:t>EQJS</w:t>
      </w:r>
      <w:r w:rsidR="0000083E" w:rsidRPr="0000083E">
        <w:rPr>
          <w:rStyle w:val="Strong"/>
          <w:rFonts w:cstheme="minorHAnsi"/>
          <w:i/>
          <w:iCs/>
          <w:color w:val="FFFFFF" w:themeColor="background1"/>
          <w:sz w:val="24"/>
          <w:szCs w:val="24"/>
          <w:bdr w:val="none" w:sz="0" w:space="0" w:color="auto" w:frame="1"/>
        </w:rPr>
        <w:t xml:space="preserve"> designation description:</w:t>
      </w:r>
    </w:p>
    <w:p w14:paraId="4BBCEA99" w14:textId="77777777" w:rsidR="0000083E" w:rsidRDefault="0000083E" w:rsidP="0000083E">
      <w:pPr>
        <w:spacing w:line="240" w:lineRule="auto"/>
        <w:ind w:left="-547"/>
        <w:contextualSpacing/>
        <w:outlineLvl w:val="3"/>
        <w:rPr>
          <w:rStyle w:val="Strong"/>
          <w:rFonts w:cstheme="minorHAnsi"/>
          <w:color w:val="2A3033"/>
          <w:sz w:val="24"/>
          <w:szCs w:val="24"/>
          <w:bdr w:val="none" w:sz="0" w:space="0" w:color="auto" w:frame="1"/>
        </w:rPr>
      </w:pPr>
    </w:p>
    <w:p w14:paraId="790F5962" w14:textId="25C527F9" w:rsidR="008E5170" w:rsidRPr="008E5170" w:rsidRDefault="004A14A4" w:rsidP="008E5170">
      <w:pPr>
        <w:spacing w:after="60"/>
        <w:ind w:left="-540"/>
        <w:contextualSpacing/>
        <w:rPr>
          <w:rFonts w:eastAsiaTheme="minorEastAsia"/>
          <w:sz w:val="24"/>
          <w:szCs w:val="24"/>
        </w:rPr>
      </w:pPr>
      <w:r>
        <w:rPr>
          <w:rFonts w:eastAsiaTheme="minorEastAsia"/>
          <w:sz w:val="24"/>
          <w:szCs w:val="24"/>
        </w:rPr>
        <w:t>Inquiry into</w:t>
      </w:r>
      <w:r w:rsidR="008E5170" w:rsidRPr="008E5170">
        <w:rPr>
          <w:rFonts w:eastAsiaTheme="minorEastAsia"/>
          <w:sz w:val="24"/>
          <w:szCs w:val="24"/>
        </w:rPr>
        <w:t xml:space="preserve"> Equity and Justice courses equip students with intellectual tools and social contexts necessary to critically examine power dynamics and to recognize, question, and understand structural inequities and privileges. Courses demonstrate how inequalities and/or stereotypes, discrimination, systemic inequities, and violence along lines of race, ethnicity, class, gender, religion, national origin, sexuality, ability, or intersections thereof are produced, sustained, and adapted across time and/or geography. Students develop the ability to position themselves in relation to structural inequities and privileges using self-reflection and open dialogue. Courses provide vital intellectual foundations, tools, and literacies to assess and evaluate ideologies and narratives in order to ethically pursue inclusive and just societies. </w:t>
      </w:r>
    </w:p>
    <w:p w14:paraId="37B2AA24" w14:textId="5C36033D" w:rsidR="00993FE7" w:rsidRDefault="00993FE7" w:rsidP="0000083E">
      <w:pPr>
        <w:spacing w:line="240" w:lineRule="auto"/>
        <w:ind w:left="-547"/>
        <w:contextualSpacing/>
        <w:outlineLvl w:val="3"/>
        <w:rPr>
          <w:rFonts w:eastAsia="Calibri" w:cstheme="minorHAnsi"/>
          <w:b/>
          <w:sz w:val="24"/>
          <w:szCs w:val="24"/>
        </w:rPr>
      </w:pPr>
    </w:p>
    <w:p w14:paraId="3BC496FF" w14:textId="124F6B10" w:rsidR="00993FE7" w:rsidRPr="0000083E" w:rsidRDefault="00993FE7" w:rsidP="00993FE7">
      <w:pPr>
        <w:shd w:val="clear" w:color="auto" w:fill="C00000"/>
        <w:spacing w:before="100" w:beforeAutospacing="1" w:after="100" w:afterAutospacing="1" w:line="240" w:lineRule="auto"/>
        <w:ind w:hanging="540"/>
        <w:rPr>
          <w:rFonts w:eastAsia="Times New Roman" w:cstheme="minorHAnsi"/>
          <w:b/>
          <w:bCs/>
          <w:i/>
          <w:iCs/>
          <w:color w:val="FFFFFF" w:themeColor="background1"/>
          <w:sz w:val="24"/>
          <w:szCs w:val="24"/>
        </w:rPr>
      </w:pPr>
      <w:r w:rsidRPr="0000083E">
        <w:rPr>
          <w:rFonts w:eastAsia="Times New Roman" w:cstheme="minorHAnsi"/>
          <w:b/>
          <w:bCs/>
          <w:i/>
          <w:iCs/>
          <w:color w:val="FFFFFF" w:themeColor="background1"/>
          <w:sz w:val="24"/>
          <w:szCs w:val="24"/>
        </w:rPr>
        <w:t xml:space="preserve">Adaptable </w:t>
      </w:r>
      <w:r w:rsidR="008E5170">
        <w:rPr>
          <w:rFonts w:eastAsia="Times New Roman" w:cstheme="minorHAnsi"/>
          <w:b/>
          <w:bCs/>
          <w:i/>
          <w:iCs/>
          <w:color w:val="FFFFFF" w:themeColor="background1"/>
          <w:sz w:val="24"/>
          <w:szCs w:val="24"/>
        </w:rPr>
        <w:t>EQJS</w:t>
      </w:r>
      <w:r w:rsidRPr="0000083E">
        <w:rPr>
          <w:rFonts w:eastAsia="Times New Roman" w:cstheme="minorHAnsi"/>
          <w:b/>
          <w:bCs/>
          <w:i/>
          <w:iCs/>
          <w:color w:val="FFFFFF" w:themeColor="background1"/>
          <w:sz w:val="24"/>
          <w:szCs w:val="24"/>
        </w:rPr>
        <w:t xml:space="preserve"> description for course syllabi</w:t>
      </w:r>
    </w:p>
    <w:p w14:paraId="7FE18E79" w14:textId="56837570" w:rsidR="00993FE7" w:rsidRPr="0000083E" w:rsidRDefault="00993FE7" w:rsidP="00993FE7">
      <w:pPr>
        <w:spacing w:before="100" w:beforeAutospacing="1" w:after="100" w:afterAutospacing="1" w:line="240" w:lineRule="auto"/>
        <w:ind w:left="-547"/>
        <w:rPr>
          <w:rFonts w:eastAsia="Times New Roman" w:cstheme="minorHAnsi"/>
          <w:i/>
          <w:iCs/>
          <w:color w:val="000000"/>
          <w:sz w:val="24"/>
          <w:szCs w:val="24"/>
        </w:rPr>
      </w:pPr>
      <w:r w:rsidRPr="0000083E">
        <w:rPr>
          <w:rFonts w:eastAsia="Times New Roman" w:cstheme="minorHAnsi"/>
          <w:i/>
          <w:iCs/>
          <w:color w:val="000000"/>
          <w:sz w:val="24"/>
          <w:szCs w:val="24"/>
        </w:rPr>
        <w:t xml:space="preserve">Please adapt this </w:t>
      </w:r>
      <w:r w:rsidR="008E5170">
        <w:rPr>
          <w:rFonts w:eastAsia="Times New Roman" w:cstheme="minorHAnsi"/>
          <w:i/>
          <w:iCs/>
          <w:color w:val="000000"/>
          <w:sz w:val="24"/>
          <w:szCs w:val="24"/>
        </w:rPr>
        <w:t>EQJS</w:t>
      </w:r>
      <w:r w:rsidRPr="0000083E">
        <w:rPr>
          <w:rFonts w:eastAsia="Times New Roman" w:cstheme="minorHAnsi"/>
          <w:i/>
          <w:iCs/>
          <w:color w:val="000000"/>
          <w:sz w:val="24"/>
          <w:szCs w:val="24"/>
        </w:rPr>
        <w:t xml:space="preserve"> course description for use in your syllabus. If possible, integrate with course specific description.</w:t>
      </w:r>
    </w:p>
    <w:p w14:paraId="348F72F6" w14:textId="26895957" w:rsidR="009742F6" w:rsidRPr="0083051A" w:rsidRDefault="009742F6" w:rsidP="009742F6">
      <w:pPr>
        <w:ind w:left="-540"/>
        <w:rPr>
          <w:rFonts w:cstheme="minorHAnsi"/>
          <w:sz w:val="24"/>
          <w:szCs w:val="24"/>
        </w:rPr>
      </w:pPr>
      <w:r w:rsidRPr="0083051A">
        <w:rPr>
          <w:rFonts w:cstheme="minorHAnsi"/>
          <w:sz w:val="24"/>
          <w:szCs w:val="24"/>
        </w:rPr>
        <w:t xml:space="preserve">XXXX XXX satisfies the </w:t>
      </w:r>
      <w:r w:rsidR="008E5170" w:rsidRPr="0083051A">
        <w:rPr>
          <w:rFonts w:cstheme="minorHAnsi"/>
          <w:sz w:val="24"/>
          <w:szCs w:val="24"/>
        </w:rPr>
        <w:t>EQJS</w:t>
      </w:r>
      <w:r w:rsidRPr="0083051A">
        <w:rPr>
          <w:rFonts w:cstheme="minorHAnsi"/>
          <w:sz w:val="24"/>
          <w:szCs w:val="24"/>
        </w:rPr>
        <w:t xml:space="preserve"> requirement for WSU’s University Common Requirements (UCORE), which is designed to help you acquire broad understanding, develop intellectual and civic competencies, and apply knowledge and skills in real world settings. Upon completion of UCORE, you will have the tools needed to seek out information, interpret it, share it, and make reasoned and ethical judgements on a wide array of issues. With these broader goals in mind, XXXX XXX, as a</w:t>
      </w:r>
      <w:r w:rsidR="004A14A4">
        <w:rPr>
          <w:rFonts w:cstheme="minorHAnsi"/>
          <w:sz w:val="24"/>
          <w:szCs w:val="24"/>
        </w:rPr>
        <w:t xml:space="preserve">n Inquiry into </w:t>
      </w:r>
      <w:r w:rsidR="005F7B82" w:rsidRPr="0083051A">
        <w:rPr>
          <w:rFonts w:cstheme="minorHAnsi"/>
          <w:sz w:val="24"/>
          <w:szCs w:val="24"/>
        </w:rPr>
        <w:t>Equity and Justice course</w:t>
      </w:r>
      <w:r w:rsidRPr="0083051A">
        <w:rPr>
          <w:rFonts w:cstheme="minorHAnsi"/>
          <w:sz w:val="24"/>
          <w:szCs w:val="24"/>
        </w:rPr>
        <w:t>, will help develop skills to analyze, interpret, reflect on</w:t>
      </w:r>
      <w:r w:rsidR="005F7B82" w:rsidRPr="0083051A">
        <w:rPr>
          <w:rFonts w:cstheme="minorHAnsi"/>
          <w:sz w:val="24"/>
          <w:szCs w:val="24"/>
        </w:rPr>
        <w:t>, and pose</w:t>
      </w:r>
      <w:r w:rsidRPr="0083051A">
        <w:rPr>
          <w:rFonts w:cstheme="minorHAnsi"/>
          <w:sz w:val="24"/>
          <w:szCs w:val="24"/>
        </w:rPr>
        <w:t xml:space="preserve"> questions </w:t>
      </w:r>
      <w:r w:rsidR="00CF35AD" w:rsidRPr="0083051A">
        <w:rPr>
          <w:rFonts w:cstheme="minorHAnsi"/>
          <w:sz w:val="24"/>
          <w:szCs w:val="24"/>
        </w:rPr>
        <w:t>about</w:t>
      </w:r>
      <w:r w:rsidRPr="0083051A">
        <w:rPr>
          <w:rFonts w:cstheme="minorHAnsi"/>
          <w:sz w:val="24"/>
          <w:szCs w:val="24"/>
        </w:rPr>
        <w:t xml:space="preserve"> </w:t>
      </w:r>
      <w:r w:rsidR="005F7B82" w:rsidRPr="0083051A">
        <w:rPr>
          <w:rFonts w:cstheme="minorHAnsi"/>
          <w:sz w:val="24"/>
          <w:szCs w:val="24"/>
        </w:rPr>
        <w:t>power, privilege, equity, and justice in society</w:t>
      </w:r>
      <w:r w:rsidRPr="0083051A">
        <w:rPr>
          <w:rFonts w:cstheme="minorHAnsi"/>
          <w:sz w:val="24"/>
          <w:szCs w:val="24"/>
        </w:rPr>
        <w:t>.</w:t>
      </w:r>
    </w:p>
    <w:p w14:paraId="52965002" w14:textId="77777777" w:rsidR="0000083E" w:rsidRPr="0000083E" w:rsidRDefault="0000083E" w:rsidP="0000083E">
      <w:pPr>
        <w:spacing w:line="240" w:lineRule="auto"/>
        <w:ind w:left="-547"/>
        <w:contextualSpacing/>
        <w:outlineLvl w:val="3"/>
        <w:rPr>
          <w:rFonts w:cstheme="minorHAnsi"/>
          <w:i/>
          <w:iCs/>
          <w:sz w:val="24"/>
          <w:szCs w:val="24"/>
        </w:rPr>
      </w:pPr>
    </w:p>
    <w:p w14:paraId="6B882D1F" w14:textId="38C69DE6" w:rsidR="0000083E" w:rsidRDefault="00993FE7" w:rsidP="00993FE7">
      <w:pPr>
        <w:shd w:val="clear" w:color="auto" w:fill="C00000"/>
        <w:spacing w:line="240" w:lineRule="auto"/>
        <w:ind w:left="-547"/>
        <w:contextualSpacing/>
        <w:outlineLvl w:val="3"/>
        <w:rPr>
          <w:rFonts w:cstheme="minorHAnsi"/>
          <w:b/>
          <w:bCs/>
          <w:i/>
          <w:iCs/>
          <w:color w:val="FFFFFF" w:themeColor="background1"/>
          <w:sz w:val="24"/>
          <w:szCs w:val="24"/>
        </w:rPr>
      </w:pPr>
      <w:r w:rsidRPr="00993FE7">
        <w:rPr>
          <w:rFonts w:cstheme="minorHAnsi"/>
          <w:b/>
          <w:bCs/>
          <w:i/>
          <w:iCs/>
          <w:color w:val="FFFFFF" w:themeColor="background1"/>
          <w:sz w:val="24"/>
          <w:szCs w:val="24"/>
        </w:rPr>
        <w:t>WSU</w:t>
      </w:r>
      <w:r>
        <w:rPr>
          <w:rFonts w:cstheme="minorHAnsi"/>
          <w:b/>
          <w:bCs/>
          <w:i/>
          <w:iCs/>
          <w:color w:val="FFFFFF" w:themeColor="background1"/>
          <w:sz w:val="24"/>
          <w:szCs w:val="24"/>
        </w:rPr>
        <w:t>’s</w:t>
      </w:r>
      <w:r w:rsidRPr="00993FE7">
        <w:rPr>
          <w:rFonts w:cstheme="minorHAnsi"/>
          <w:b/>
          <w:bCs/>
          <w:i/>
          <w:iCs/>
          <w:color w:val="FFFFFF" w:themeColor="background1"/>
          <w:sz w:val="24"/>
          <w:szCs w:val="24"/>
        </w:rPr>
        <w:t xml:space="preserve"> </w:t>
      </w:r>
      <w:r>
        <w:rPr>
          <w:rFonts w:cstheme="minorHAnsi"/>
          <w:b/>
          <w:bCs/>
          <w:i/>
          <w:iCs/>
          <w:color w:val="FFFFFF" w:themeColor="background1"/>
          <w:sz w:val="24"/>
          <w:szCs w:val="24"/>
        </w:rPr>
        <w:t>Seven</w:t>
      </w:r>
      <w:r w:rsidRPr="00993FE7">
        <w:rPr>
          <w:rFonts w:cstheme="minorHAnsi"/>
          <w:b/>
          <w:bCs/>
          <w:i/>
          <w:iCs/>
          <w:color w:val="FFFFFF" w:themeColor="background1"/>
          <w:sz w:val="24"/>
          <w:szCs w:val="24"/>
        </w:rPr>
        <w:t xml:space="preserve"> </w:t>
      </w:r>
      <w:r>
        <w:rPr>
          <w:rFonts w:cstheme="minorHAnsi"/>
          <w:b/>
          <w:bCs/>
          <w:i/>
          <w:iCs/>
          <w:color w:val="FFFFFF" w:themeColor="background1"/>
          <w:sz w:val="24"/>
          <w:szCs w:val="24"/>
        </w:rPr>
        <w:t>L</w:t>
      </w:r>
      <w:r w:rsidRPr="00993FE7">
        <w:rPr>
          <w:rFonts w:cstheme="minorHAnsi"/>
          <w:b/>
          <w:bCs/>
          <w:i/>
          <w:iCs/>
          <w:color w:val="FFFFFF" w:themeColor="background1"/>
          <w:sz w:val="24"/>
          <w:szCs w:val="24"/>
        </w:rPr>
        <w:t xml:space="preserve">earning </w:t>
      </w:r>
      <w:r>
        <w:rPr>
          <w:rFonts w:cstheme="minorHAnsi"/>
          <w:b/>
          <w:bCs/>
          <w:i/>
          <w:iCs/>
          <w:color w:val="FFFFFF" w:themeColor="background1"/>
          <w:sz w:val="24"/>
          <w:szCs w:val="24"/>
        </w:rPr>
        <w:t>G</w:t>
      </w:r>
      <w:r w:rsidRPr="00993FE7">
        <w:rPr>
          <w:rFonts w:cstheme="minorHAnsi"/>
          <w:b/>
          <w:bCs/>
          <w:i/>
          <w:iCs/>
          <w:color w:val="FFFFFF" w:themeColor="background1"/>
          <w:sz w:val="24"/>
          <w:szCs w:val="24"/>
        </w:rPr>
        <w:t xml:space="preserve">oals and </w:t>
      </w:r>
      <w:r w:rsidR="008E5170">
        <w:rPr>
          <w:rFonts w:cstheme="minorHAnsi"/>
          <w:b/>
          <w:bCs/>
          <w:i/>
          <w:iCs/>
          <w:color w:val="FFFFFF" w:themeColor="background1"/>
          <w:sz w:val="24"/>
          <w:szCs w:val="24"/>
        </w:rPr>
        <w:t>EQJS</w:t>
      </w:r>
      <w:r w:rsidRPr="00993FE7">
        <w:rPr>
          <w:rFonts w:cstheme="minorHAnsi"/>
          <w:b/>
          <w:bCs/>
          <w:i/>
          <w:iCs/>
          <w:color w:val="FFFFFF" w:themeColor="background1"/>
          <w:sz w:val="24"/>
          <w:szCs w:val="24"/>
        </w:rPr>
        <w:t xml:space="preserve"> (f</w:t>
      </w:r>
      <w:r w:rsidR="0000083E" w:rsidRPr="00993FE7">
        <w:rPr>
          <w:rFonts w:cstheme="minorHAnsi"/>
          <w:b/>
          <w:bCs/>
          <w:i/>
          <w:iCs/>
          <w:color w:val="FFFFFF" w:themeColor="background1"/>
          <w:sz w:val="24"/>
          <w:szCs w:val="24"/>
        </w:rPr>
        <w:t>or Reference</w:t>
      </w:r>
      <w:r w:rsidRPr="00993FE7">
        <w:rPr>
          <w:rFonts w:cstheme="minorHAnsi"/>
          <w:b/>
          <w:bCs/>
          <w:i/>
          <w:iCs/>
          <w:color w:val="FFFFFF" w:themeColor="background1"/>
          <w:sz w:val="24"/>
          <w:szCs w:val="24"/>
        </w:rPr>
        <w:t>)</w:t>
      </w:r>
    </w:p>
    <w:p w14:paraId="4416D89E" w14:textId="77777777" w:rsidR="00993FE7" w:rsidRPr="00993FE7" w:rsidRDefault="00993FE7" w:rsidP="00993FE7">
      <w:pPr>
        <w:spacing w:line="240" w:lineRule="auto"/>
        <w:ind w:left="-547"/>
        <w:contextualSpacing/>
        <w:outlineLvl w:val="3"/>
        <w:rPr>
          <w:rFonts w:eastAsia="Calibri" w:cstheme="minorHAnsi"/>
          <w:b/>
          <w:bCs/>
          <w:color w:val="FFFFFF" w:themeColor="background1"/>
          <w:sz w:val="24"/>
          <w:szCs w:val="24"/>
        </w:rPr>
      </w:pPr>
    </w:p>
    <w:tbl>
      <w:tblPr>
        <w:tblStyle w:val="TableGrid1"/>
        <w:tblW w:w="10705" w:type="dxa"/>
        <w:jc w:val="center"/>
        <w:tblLayout w:type="fixed"/>
        <w:tblLook w:val="04A0" w:firstRow="1" w:lastRow="0" w:firstColumn="1" w:lastColumn="0" w:noHBand="0" w:noVBand="1"/>
        <w:tblDescription w:val="Table displaying the alignment between UCORE Requirements and WSU's Learning Goals of Undergraduate Education."/>
      </w:tblPr>
      <w:tblGrid>
        <w:gridCol w:w="2245"/>
        <w:gridCol w:w="990"/>
        <w:gridCol w:w="1260"/>
        <w:gridCol w:w="900"/>
        <w:gridCol w:w="810"/>
        <w:gridCol w:w="1350"/>
        <w:gridCol w:w="990"/>
        <w:gridCol w:w="990"/>
        <w:gridCol w:w="1170"/>
      </w:tblGrid>
      <w:tr w:rsidR="0000083E" w:rsidRPr="0000083E" w14:paraId="6938B9A5" w14:textId="77777777" w:rsidTr="00420211">
        <w:trPr>
          <w:trHeight w:val="377"/>
          <w:jc w:val="center"/>
        </w:trPr>
        <w:tc>
          <w:tcPr>
            <w:tcW w:w="2245" w:type="dxa"/>
            <w:vMerge w:val="restart"/>
            <w:shd w:val="clear" w:color="auto" w:fill="5E6A71"/>
            <w:vAlign w:val="center"/>
          </w:tcPr>
          <w:p w14:paraId="6237FAA4" w14:textId="77777777" w:rsidR="0000083E" w:rsidRPr="0000083E" w:rsidRDefault="0000083E" w:rsidP="00420211">
            <w:pPr>
              <w:tabs>
                <w:tab w:val="left" w:pos="720"/>
                <w:tab w:val="right" w:leader="dot" w:pos="9360"/>
              </w:tabs>
              <w:rPr>
                <w:rFonts w:ascii="Calibri" w:eastAsia="Calibri" w:hAnsi="Calibri" w:cs="Calibri"/>
                <w:color w:val="FFFFFF"/>
                <w:sz w:val="20"/>
                <w:szCs w:val="20"/>
              </w:rPr>
            </w:pPr>
            <w:r w:rsidRPr="0000083E">
              <w:rPr>
                <w:rFonts w:ascii="Calibri" w:eastAsia="Calibri" w:hAnsi="Calibri" w:cs="Calibri"/>
                <w:b/>
                <w:color w:val="FFFFFF"/>
                <w:spacing w:val="-1"/>
                <w:sz w:val="20"/>
                <w:szCs w:val="20"/>
              </w:rPr>
              <w:t>UCORE Requirements</w:t>
            </w:r>
            <w:r w:rsidRPr="0000083E">
              <w:rPr>
                <w:rFonts w:ascii="Calibri" w:eastAsia="Calibri" w:hAnsi="Calibri" w:cs="Calibri"/>
                <w:b/>
                <w:color w:val="FFFFFF"/>
                <w:spacing w:val="2"/>
                <w:sz w:val="20"/>
                <w:szCs w:val="20"/>
              </w:rPr>
              <w:t xml:space="preserve"> &amp; WSU’s L</w:t>
            </w:r>
            <w:r w:rsidRPr="0000083E">
              <w:rPr>
                <w:rFonts w:ascii="Calibri" w:eastAsia="Calibri" w:hAnsi="Calibri" w:cs="Calibri"/>
                <w:b/>
                <w:color w:val="FFFFFF"/>
                <w:spacing w:val="-1"/>
                <w:sz w:val="20"/>
                <w:szCs w:val="20"/>
              </w:rPr>
              <w:t>earning</w:t>
            </w:r>
            <w:r w:rsidRPr="0000083E">
              <w:rPr>
                <w:rFonts w:ascii="Calibri" w:eastAsia="Calibri" w:hAnsi="Calibri" w:cs="Calibri"/>
                <w:b/>
                <w:color w:val="FFFFFF"/>
                <w:sz w:val="20"/>
                <w:szCs w:val="20"/>
              </w:rPr>
              <w:t xml:space="preserve"> </w:t>
            </w:r>
            <w:r w:rsidRPr="0000083E">
              <w:rPr>
                <w:rFonts w:ascii="Calibri" w:eastAsia="Calibri" w:hAnsi="Calibri" w:cs="Calibri"/>
                <w:b/>
                <w:color w:val="FFFFFF"/>
                <w:spacing w:val="-1"/>
                <w:sz w:val="20"/>
                <w:szCs w:val="20"/>
              </w:rPr>
              <w:t>Goals</w:t>
            </w:r>
          </w:p>
        </w:tc>
        <w:tc>
          <w:tcPr>
            <w:tcW w:w="990" w:type="dxa"/>
            <w:vMerge w:val="restart"/>
            <w:shd w:val="clear" w:color="auto" w:fill="5E6A71"/>
            <w:vAlign w:val="center"/>
          </w:tcPr>
          <w:p w14:paraId="18975380" w14:textId="77777777" w:rsidR="0000083E" w:rsidRPr="0000083E" w:rsidRDefault="0000083E" w:rsidP="00420211">
            <w:pPr>
              <w:tabs>
                <w:tab w:val="left" w:pos="720"/>
                <w:tab w:val="right" w:leader="dot" w:pos="9360"/>
              </w:tabs>
              <w:jc w:val="center"/>
              <w:rPr>
                <w:rFonts w:ascii="Calibri" w:eastAsia="Calibri" w:hAnsi="Calibri" w:cs="Calibri"/>
                <w:b/>
                <w:color w:val="FFFFFF"/>
                <w:sz w:val="20"/>
                <w:szCs w:val="20"/>
              </w:rPr>
            </w:pPr>
            <w:r w:rsidRPr="0000083E">
              <w:rPr>
                <w:rFonts w:ascii="Calibri" w:eastAsia="Calibri" w:hAnsi="Calibri" w:cs="Calibri"/>
                <w:b/>
                <w:color w:val="FFFFFF"/>
                <w:sz w:val="20"/>
                <w:szCs w:val="20"/>
              </w:rPr>
              <w:t>Critical &amp; Creative Thinking</w:t>
            </w:r>
          </w:p>
        </w:tc>
        <w:tc>
          <w:tcPr>
            <w:tcW w:w="1260" w:type="dxa"/>
            <w:vMerge w:val="restart"/>
            <w:shd w:val="clear" w:color="auto" w:fill="5E6A71"/>
            <w:vAlign w:val="center"/>
          </w:tcPr>
          <w:p w14:paraId="006B1AE3" w14:textId="77777777" w:rsidR="0000083E" w:rsidRPr="0000083E" w:rsidRDefault="0000083E" w:rsidP="00420211">
            <w:pPr>
              <w:tabs>
                <w:tab w:val="left" w:pos="720"/>
                <w:tab w:val="right" w:leader="dot" w:pos="9360"/>
              </w:tabs>
              <w:jc w:val="center"/>
              <w:rPr>
                <w:rFonts w:ascii="Calibri" w:eastAsia="Calibri" w:hAnsi="Calibri" w:cs="Calibri"/>
                <w:b/>
                <w:color w:val="FFFFFF"/>
                <w:sz w:val="20"/>
                <w:szCs w:val="20"/>
              </w:rPr>
            </w:pPr>
            <w:r w:rsidRPr="0000083E">
              <w:rPr>
                <w:rFonts w:ascii="Calibri" w:eastAsia="Calibri" w:hAnsi="Calibri" w:cs="Calibri"/>
                <w:b/>
                <w:color w:val="FFFFFF"/>
                <w:sz w:val="20"/>
                <w:szCs w:val="20"/>
              </w:rPr>
              <w:t>Information Literacy</w:t>
            </w:r>
          </w:p>
        </w:tc>
        <w:tc>
          <w:tcPr>
            <w:tcW w:w="1710" w:type="dxa"/>
            <w:gridSpan w:val="2"/>
            <w:shd w:val="clear" w:color="auto" w:fill="5E6A71"/>
            <w:vAlign w:val="center"/>
          </w:tcPr>
          <w:p w14:paraId="27F33196" w14:textId="77777777" w:rsidR="0000083E" w:rsidRPr="0000083E" w:rsidRDefault="0000083E" w:rsidP="00420211">
            <w:pPr>
              <w:tabs>
                <w:tab w:val="left" w:pos="720"/>
                <w:tab w:val="right" w:leader="dot" w:pos="9360"/>
              </w:tabs>
              <w:jc w:val="center"/>
              <w:rPr>
                <w:rFonts w:ascii="Calibri" w:eastAsia="Calibri" w:hAnsi="Calibri" w:cs="Calibri"/>
                <w:b/>
                <w:color w:val="FFFFFF"/>
                <w:sz w:val="20"/>
                <w:szCs w:val="20"/>
              </w:rPr>
            </w:pPr>
            <w:r w:rsidRPr="0000083E">
              <w:rPr>
                <w:rFonts w:ascii="Calibri" w:eastAsia="Calibri" w:hAnsi="Calibri" w:cs="Calibri"/>
                <w:b/>
                <w:color w:val="FFFFFF"/>
                <w:sz w:val="20"/>
                <w:szCs w:val="20"/>
              </w:rPr>
              <w:t>Communication</w:t>
            </w:r>
          </w:p>
        </w:tc>
        <w:tc>
          <w:tcPr>
            <w:tcW w:w="1350" w:type="dxa"/>
            <w:vMerge w:val="restart"/>
            <w:shd w:val="clear" w:color="auto" w:fill="5E6A71"/>
            <w:vAlign w:val="center"/>
          </w:tcPr>
          <w:p w14:paraId="37C20709" w14:textId="77777777" w:rsidR="0000083E" w:rsidRPr="0000083E" w:rsidRDefault="0000083E" w:rsidP="00420211">
            <w:pPr>
              <w:tabs>
                <w:tab w:val="left" w:pos="720"/>
                <w:tab w:val="right" w:leader="dot" w:pos="9360"/>
              </w:tabs>
              <w:jc w:val="center"/>
              <w:rPr>
                <w:rFonts w:ascii="Calibri" w:eastAsia="Calibri" w:hAnsi="Calibri" w:cs="Calibri"/>
                <w:b/>
                <w:color w:val="FFFFFF"/>
                <w:sz w:val="20"/>
                <w:szCs w:val="20"/>
              </w:rPr>
            </w:pPr>
            <w:r w:rsidRPr="0000083E">
              <w:rPr>
                <w:rFonts w:ascii="Calibri" w:eastAsia="Calibri" w:hAnsi="Calibri" w:cs="Calibri"/>
                <w:b/>
                <w:color w:val="FFFFFF"/>
                <w:sz w:val="20"/>
                <w:szCs w:val="20"/>
              </w:rPr>
              <w:t>Quantitative Reasoning</w:t>
            </w:r>
          </w:p>
        </w:tc>
        <w:tc>
          <w:tcPr>
            <w:tcW w:w="990" w:type="dxa"/>
            <w:vMerge w:val="restart"/>
            <w:shd w:val="clear" w:color="auto" w:fill="5E6A71"/>
            <w:vAlign w:val="center"/>
          </w:tcPr>
          <w:p w14:paraId="2994A473" w14:textId="77777777" w:rsidR="0000083E" w:rsidRPr="0000083E" w:rsidRDefault="0000083E" w:rsidP="00420211">
            <w:pPr>
              <w:tabs>
                <w:tab w:val="left" w:pos="720"/>
                <w:tab w:val="right" w:leader="dot" w:pos="9360"/>
              </w:tabs>
              <w:jc w:val="center"/>
              <w:rPr>
                <w:rFonts w:ascii="Calibri" w:eastAsia="Calibri" w:hAnsi="Calibri" w:cs="Calibri"/>
                <w:b/>
                <w:color w:val="FFFFFF"/>
                <w:sz w:val="20"/>
                <w:szCs w:val="20"/>
              </w:rPr>
            </w:pPr>
            <w:r w:rsidRPr="0000083E">
              <w:rPr>
                <w:rFonts w:ascii="Calibri" w:eastAsia="Calibri" w:hAnsi="Calibri" w:cs="Calibri"/>
                <w:b/>
                <w:color w:val="FFFFFF"/>
                <w:sz w:val="20"/>
                <w:szCs w:val="20"/>
              </w:rPr>
              <w:t>Scientific Literacy</w:t>
            </w:r>
          </w:p>
        </w:tc>
        <w:tc>
          <w:tcPr>
            <w:tcW w:w="990" w:type="dxa"/>
            <w:vMerge w:val="restart"/>
            <w:shd w:val="clear" w:color="auto" w:fill="5E6A71"/>
            <w:vAlign w:val="center"/>
          </w:tcPr>
          <w:p w14:paraId="4675862D" w14:textId="77777777" w:rsidR="0000083E" w:rsidRPr="0000083E" w:rsidRDefault="0000083E" w:rsidP="00420211">
            <w:pPr>
              <w:tabs>
                <w:tab w:val="left" w:pos="720"/>
                <w:tab w:val="right" w:leader="dot" w:pos="9360"/>
              </w:tabs>
              <w:jc w:val="center"/>
              <w:rPr>
                <w:rFonts w:ascii="Calibri" w:eastAsia="Calibri" w:hAnsi="Calibri" w:cs="Calibri"/>
                <w:b/>
                <w:color w:val="FFFFFF"/>
                <w:sz w:val="20"/>
                <w:szCs w:val="20"/>
              </w:rPr>
            </w:pPr>
            <w:r w:rsidRPr="0000083E">
              <w:rPr>
                <w:rFonts w:ascii="Calibri" w:eastAsia="Calibri" w:hAnsi="Calibri" w:cs="Calibri"/>
                <w:b/>
                <w:color w:val="FFFFFF"/>
                <w:sz w:val="20"/>
                <w:szCs w:val="20"/>
              </w:rPr>
              <w:t>Diversity</w:t>
            </w:r>
          </w:p>
        </w:tc>
        <w:tc>
          <w:tcPr>
            <w:tcW w:w="1170" w:type="dxa"/>
            <w:vMerge w:val="restart"/>
            <w:shd w:val="clear" w:color="auto" w:fill="5E6A71"/>
            <w:vAlign w:val="center"/>
          </w:tcPr>
          <w:p w14:paraId="25A9413E" w14:textId="77777777" w:rsidR="0000083E" w:rsidRPr="0000083E" w:rsidRDefault="0000083E" w:rsidP="00420211">
            <w:pPr>
              <w:tabs>
                <w:tab w:val="left" w:pos="720"/>
                <w:tab w:val="right" w:leader="dot" w:pos="9360"/>
              </w:tabs>
              <w:jc w:val="center"/>
              <w:rPr>
                <w:rFonts w:ascii="Calibri" w:eastAsia="Calibri" w:hAnsi="Calibri" w:cs="Calibri"/>
                <w:b/>
                <w:color w:val="FFFFFF"/>
                <w:sz w:val="20"/>
                <w:szCs w:val="20"/>
              </w:rPr>
            </w:pPr>
            <w:r w:rsidRPr="0000083E">
              <w:rPr>
                <w:rFonts w:ascii="Calibri" w:eastAsia="Calibri" w:hAnsi="Calibri" w:cs="Times New Roman"/>
                <w:b/>
                <w:color w:val="FFFFFF"/>
                <w:sz w:val="20"/>
                <w:szCs w:val="20"/>
              </w:rPr>
              <w:t>Depth, Breadth, &amp; Integration of Learning</w:t>
            </w:r>
          </w:p>
        </w:tc>
      </w:tr>
      <w:tr w:rsidR="0000083E" w:rsidRPr="0000083E" w14:paraId="69051159" w14:textId="77777777" w:rsidTr="00420211">
        <w:trPr>
          <w:trHeight w:val="539"/>
          <w:jc w:val="center"/>
        </w:trPr>
        <w:tc>
          <w:tcPr>
            <w:tcW w:w="2245" w:type="dxa"/>
            <w:vMerge/>
            <w:shd w:val="clear" w:color="auto" w:fill="D9D9D9"/>
          </w:tcPr>
          <w:p w14:paraId="4036CBC7" w14:textId="77777777" w:rsidR="0000083E" w:rsidRPr="0000083E" w:rsidRDefault="0000083E" w:rsidP="00420211">
            <w:pPr>
              <w:tabs>
                <w:tab w:val="left" w:pos="720"/>
                <w:tab w:val="right" w:leader="dot" w:pos="9360"/>
              </w:tabs>
              <w:rPr>
                <w:rFonts w:ascii="Calibri" w:eastAsia="Calibri" w:hAnsi="Calibri" w:cs="Calibri"/>
                <w:b/>
                <w:spacing w:val="-1"/>
                <w:sz w:val="20"/>
                <w:szCs w:val="20"/>
              </w:rPr>
            </w:pPr>
          </w:p>
        </w:tc>
        <w:tc>
          <w:tcPr>
            <w:tcW w:w="990" w:type="dxa"/>
            <w:vMerge/>
            <w:shd w:val="clear" w:color="auto" w:fill="D9D9D9"/>
            <w:vAlign w:val="center"/>
          </w:tcPr>
          <w:p w14:paraId="11346D29" w14:textId="77777777" w:rsidR="0000083E" w:rsidRPr="0000083E" w:rsidRDefault="0000083E" w:rsidP="00420211">
            <w:pPr>
              <w:tabs>
                <w:tab w:val="left" w:pos="720"/>
                <w:tab w:val="right" w:leader="dot" w:pos="9360"/>
              </w:tabs>
              <w:jc w:val="center"/>
              <w:rPr>
                <w:rFonts w:ascii="Calibri" w:eastAsia="Calibri" w:hAnsi="Calibri" w:cs="Calibri"/>
                <w:sz w:val="20"/>
                <w:szCs w:val="20"/>
              </w:rPr>
            </w:pPr>
          </w:p>
        </w:tc>
        <w:tc>
          <w:tcPr>
            <w:tcW w:w="1260" w:type="dxa"/>
            <w:vMerge/>
            <w:shd w:val="clear" w:color="auto" w:fill="D9D9D9"/>
            <w:vAlign w:val="center"/>
          </w:tcPr>
          <w:p w14:paraId="234C6589" w14:textId="77777777" w:rsidR="0000083E" w:rsidRPr="0000083E" w:rsidRDefault="0000083E" w:rsidP="00420211">
            <w:pPr>
              <w:tabs>
                <w:tab w:val="left" w:pos="720"/>
                <w:tab w:val="right" w:leader="dot" w:pos="9360"/>
              </w:tabs>
              <w:jc w:val="center"/>
              <w:rPr>
                <w:rFonts w:ascii="Calibri" w:eastAsia="Calibri" w:hAnsi="Calibri" w:cs="Calibri"/>
                <w:sz w:val="20"/>
                <w:szCs w:val="20"/>
              </w:rPr>
            </w:pPr>
          </w:p>
        </w:tc>
        <w:tc>
          <w:tcPr>
            <w:tcW w:w="900" w:type="dxa"/>
            <w:shd w:val="clear" w:color="auto" w:fill="5E6A71"/>
            <w:vAlign w:val="center"/>
          </w:tcPr>
          <w:p w14:paraId="44DFEF9E" w14:textId="77777777" w:rsidR="0000083E" w:rsidRPr="0000083E" w:rsidRDefault="0000083E" w:rsidP="00420211">
            <w:pPr>
              <w:tabs>
                <w:tab w:val="left" w:pos="720"/>
                <w:tab w:val="right" w:leader="dot" w:pos="9360"/>
              </w:tabs>
              <w:jc w:val="center"/>
              <w:rPr>
                <w:rFonts w:ascii="Calibri" w:eastAsia="Calibri" w:hAnsi="Calibri" w:cs="Calibri"/>
                <w:color w:val="FFFFFF"/>
                <w:sz w:val="20"/>
                <w:szCs w:val="20"/>
              </w:rPr>
            </w:pPr>
            <w:r w:rsidRPr="0000083E">
              <w:rPr>
                <w:rFonts w:ascii="Calibri" w:eastAsia="Calibri" w:hAnsi="Calibri" w:cs="Calibri"/>
                <w:color w:val="FFFFFF"/>
                <w:sz w:val="20"/>
                <w:szCs w:val="20"/>
              </w:rPr>
              <w:t>Written</w:t>
            </w:r>
          </w:p>
        </w:tc>
        <w:tc>
          <w:tcPr>
            <w:tcW w:w="810" w:type="dxa"/>
            <w:shd w:val="clear" w:color="auto" w:fill="5E6A71"/>
            <w:vAlign w:val="center"/>
          </w:tcPr>
          <w:p w14:paraId="5DF858BD" w14:textId="77777777" w:rsidR="0000083E" w:rsidRPr="0000083E" w:rsidRDefault="0000083E" w:rsidP="00420211">
            <w:pPr>
              <w:tabs>
                <w:tab w:val="left" w:pos="720"/>
                <w:tab w:val="right" w:leader="dot" w:pos="9360"/>
              </w:tabs>
              <w:jc w:val="center"/>
              <w:rPr>
                <w:rFonts w:ascii="Calibri" w:eastAsia="Calibri" w:hAnsi="Calibri" w:cs="Calibri"/>
                <w:color w:val="FFFFFF"/>
                <w:sz w:val="20"/>
                <w:szCs w:val="20"/>
              </w:rPr>
            </w:pPr>
            <w:r w:rsidRPr="0000083E">
              <w:rPr>
                <w:rFonts w:ascii="Calibri" w:eastAsia="Calibri" w:hAnsi="Calibri" w:cs="Calibri"/>
                <w:color w:val="FFFFFF"/>
                <w:sz w:val="20"/>
                <w:szCs w:val="20"/>
              </w:rPr>
              <w:t>Non-written</w:t>
            </w:r>
          </w:p>
        </w:tc>
        <w:tc>
          <w:tcPr>
            <w:tcW w:w="1350" w:type="dxa"/>
            <w:vMerge/>
            <w:shd w:val="clear" w:color="auto" w:fill="D9D9D9"/>
            <w:vAlign w:val="center"/>
          </w:tcPr>
          <w:p w14:paraId="1B712A6C" w14:textId="77777777" w:rsidR="0000083E" w:rsidRPr="0000083E" w:rsidRDefault="0000083E" w:rsidP="00420211">
            <w:pPr>
              <w:tabs>
                <w:tab w:val="left" w:pos="720"/>
                <w:tab w:val="right" w:leader="dot" w:pos="9360"/>
              </w:tabs>
              <w:jc w:val="center"/>
              <w:rPr>
                <w:rFonts w:ascii="Calibri" w:eastAsia="Calibri" w:hAnsi="Calibri" w:cs="Calibri"/>
                <w:sz w:val="20"/>
                <w:szCs w:val="20"/>
              </w:rPr>
            </w:pPr>
          </w:p>
        </w:tc>
        <w:tc>
          <w:tcPr>
            <w:tcW w:w="990" w:type="dxa"/>
            <w:vMerge/>
            <w:shd w:val="clear" w:color="auto" w:fill="D9D9D9"/>
            <w:vAlign w:val="center"/>
          </w:tcPr>
          <w:p w14:paraId="5F7529F4" w14:textId="77777777" w:rsidR="0000083E" w:rsidRPr="0000083E" w:rsidRDefault="0000083E" w:rsidP="00420211">
            <w:pPr>
              <w:tabs>
                <w:tab w:val="left" w:pos="720"/>
                <w:tab w:val="right" w:leader="dot" w:pos="9360"/>
              </w:tabs>
              <w:jc w:val="center"/>
              <w:rPr>
                <w:rFonts w:ascii="Calibri" w:eastAsia="Calibri" w:hAnsi="Calibri" w:cs="Calibri"/>
                <w:sz w:val="20"/>
                <w:szCs w:val="20"/>
              </w:rPr>
            </w:pPr>
          </w:p>
        </w:tc>
        <w:tc>
          <w:tcPr>
            <w:tcW w:w="990" w:type="dxa"/>
            <w:vMerge/>
            <w:shd w:val="clear" w:color="auto" w:fill="D9D9D9"/>
            <w:vAlign w:val="center"/>
          </w:tcPr>
          <w:p w14:paraId="2CD762BD" w14:textId="77777777" w:rsidR="0000083E" w:rsidRPr="0000083E" w:rsidRDefault="0000083E" w:rsidP="00420211">
            <w:pPr>
              <w:tabs>
                <w:tab w:val="left" w:pos="720"/>
                <w:tab w:val="right" w:leader="dot" w:pos="9360"/>
              </w:tabs>
              <w:jc w:val="center"/>
              <w:rPr>
                <w:rFonts w:ascii="Calibri" w:eastAsia="Calibri" w:hAnsi="Calibri" w:cs="Calibri"/>
                <w:sz w:val="20"/>
                <w:szCs w:val="20"/>
              </w:rPr>
            </w:pPr>
          </w:p>
        </w:tc>
        <w:tc>
          <w:tcPr>
            <w:tcW w:w="1170" w:type="dxa"/>
            <w:vMerge/>
            <w:shd w:val="clear" w:color="auto" w:fill="D9D9D9"/>
            <w:vAlign w:val="center"/>
          </w:tcPr>
          <w:p w14:paraId="5DF3B21E" w14:textId="77777777" w:rsidR="0000083E" w:rsidRPr="0000083E" w:rsidRDefault="0000083E" w:rsidP="00420211">
            <w:pPr>
              <w:tabs>
                <w:tab w:val="left" w:pos="720"/>
                <w:tab w:val="right" w:leader="dot" w:pos="9360"/>
              </w:tabs>
              <w:jc w:val="center"/>
              <w:rPr>
                <w:rFonts w:ascii="Calibri" w:eastAsia="Calibri" w:hAnsi="Calibri" w:cs="Calibri"/>
                <w:sz w:val="20"/>
                <w:szCs w:val="20"/>
              </w:rPr>
            </w:pPr>
          </w:p>
        </w:tc>
      </w:tr>
      <w:tr w:rsidR="0000083E" w:rsidRPr="0000083E" w14:paraId="396EE4F3" w14:textId="77777777" w:rsidTr="00420211">
        <w:trPr>
          <w:trHeight w:val="259"/>
          <w:jc w:val="center"/>
        </w:trPr>
        <w:tc>
          <w:tcPr>
            <w:tcW w:w="10705" w:type="dxa"/>
            <w:gridSpan w:val="9"/>
            <w:shd w:val="clear" w:color="auto" w:fill="981E32"/>
          </w:tcPr>
          <w:p w14:paraId="0277651E" w14:textId="77777777" w:rsidR="0000083E" w:rsidRPr="0000083E" w:rsidRDefault="0000083E" w:rsidP="00420211">
            <w:pPr>
              <w:tabs>
                <w:tab w:val="left" w:pos="720"/>
                <w:tab w:val="right" w:leader="dot" w:pos="9360"/>
              </w:tabs>
              <w:rPr>
                <w:rFonts w:ascii="Calibri" w:eastAsia="Calibri" w:hAnsi="Calibri" w:cs="Times New Roman"/>
                <w:b/>
                <w:color w:val="FFFFFF"/>
                <w:sz w:val="20"/>
                <w:szCs w:val="20"/>
              </w:rPr>
            </w:pPr>
            <w:r w:rsidRPr="0000083E">
              <w:rPr>
                <w:rFonts w:ascii="Calibri" w:eastAsia="Calibri" w:hAnsi="Calibri" w:cs="Times New Roman"/>
                <w:b/>
                <w:color w:val="FFFFFF"/>
                <w:sz w:val="20"/>
                <w:szCs w:val="20"/>
              </w:rPr>
              <w:t>WAYS OF KNOWING</w:t>
            </w:r>
          </w:p>
        </w:tc>
      </w:tr>
      <w:tr w:rsidR="0000083E" w:rsidRPr="0000083E" w14:paraId="290BD7A4" w14:textId="77777777" w:rsidTr="00420211">
        <w:trPr>
          <w:trHeight w:val="576"/>
          <w:jc w:val="center"/>
        </w:trPr>
        <w:tc>
          <w:tcPr>
            <w:tcW w:w="2245" w:type="dxa"/>
            <w:vAlign w:val="center"/>
          </w:tcPr>
          <w:p w14:paraId="6E5208D5" w14:textId="05778BAE" w:rsidR="0000083E" w:rsidRPr="0000083E" w:rsidRDefault="004A14A4" w:rsidP="00420211">
            <w:pPr>
              <w:tabs>
                <w:tab w:val="left" w:pos="720"/>
                <w:tab w:val="right" w:leader="dot" w:pos="9360"/>
              </w:tabs>
              <w:rPr>
                <w:rFonts w:ascii="Calibri" w:eastAsia="Calibri" w:hAnsi="Calibri" w:cs="Times New Roman"/>
                <w:sz w:val="20"/>
                <w:szCs w:val="20"/>
              </w:rPr>
            </w:pPr>
            <w:r>
              <w:rPr>
                <w:rFonts w:ascii="Calibri" w:eastAsia="Arial" w:hAnsi="Calibri" w:cs="Arial"/>
                <w:b/>
                <w:bCs/>
                <w:spacing w:val="-1"/>
                <w:sz w:val="20"/>
                <w:szCs w:val="20"/>
              </w:rPr>
              <w:t>Inquiry into</w:t>
            </w:r>
            <w:r w:rsidR="008E5170">
              <w:rPr>
                <w:rFonts w:ascii="Calibri" w:eastAsia="Arial" w:hAnsi="Calibri" w:cs="Arial"/>
                <w:b/>
                <w:bCs/>
                <w:spacing w:val="-1"/>
                <w:sz w:val="20"/>
                <w:szCs w:val="20"/>
              </w:rPr>
              <w:t xml:space="preserve"> Equity and Justice</w:t>
            </w:r>
            <w:r w:rsidR="005A7624">
              <w:rPr>
                <w:rFonts w:ascii="Calibri" w:eastAsia="Arial" w:hAnsi="Calibri" w:cs="Arial"/>
                <w:b/>
                <w:bCs/>
                <w:sz w:val="20"/>
                <w:szCs w:val="20"/>
              </w:rPr>
              <w:t xml:space="preserve"> </w:t>
            </w:r>
            <w:r w:rsidR="0000083E" w:rsidRPr="0000083E">
              <w:rPr>
                <w:rFonts w:ascii="Calibri" w:eastAsia="Arial" w:hAnsi="Calibri" w:cs="Arial"/>
                <w:w w:val="95"/>
                <w:sz w:val="20"/>
                <w:szCs w:val="20"/>
              </w:rPr>
              <w:t>[</w:t>
            </w:r>
            <w:r w:rsidR="008E5170">
              <w:rPr>
                <w:rFonts w:ascii="Calibri" w:eastAsia="Arial" w:hAnsi="Calibri" w:cs="Arial"/>
                <w:w w:val="95"/>
                <w:sz w:val="20"/>
                <w:szCs w:val="20"/>
              </w:rPr>
              <w:t>EQJS</w:t>
            </w:r>
            <w:r w:rsidR="0000083E" w:rsidRPr="0000083E">
              <w:rPr>
                <w:rFonts w:ascii="Calibri" w:eastAsia="Arial" w:hAnsi="Calibri" w:cs="Arial"/>
                <w:w w:val="95"/>
                <w:sz w:val="20"/>
                <w:szCs w:val="20"/>
              </w:rPr>
              <w:t>]</w:t>
            </w:r>
          </w:p>
        </w:tc>
        <w:tc>
          <w:tcPr>
            <w:tcW w:w="990" w:type="dxa"/>
            <w:vAlign w:val="center"/>
          </w:tcPr>
          <w:p w14:paraId="5C29B9F4" w14:textId="77777777" w:rsidR="0000083E" w:rsidRPr="0000083E" w:rsidRDefault="0000083E" w:rsidP="00420211">
            <w:pPr>
              <w:tabs>
                <w:tab w:val="left" w:pos="720"/>
                <w:tab w:val="right" w:leader="dot" w:pos="9360"/>
              </w:tabs>
              <w:jc w:val="center"/>
              <w:rPr>
                <w:rFonts w:ascii="Calibri" w:eastAsia="Calibri" w:hAnsi="Calibri" w:cs="Times New Roman"/>
                <w:sz w:val="20"/>
                <w:szCs w:val="20"/>
              </w:rPr>
            </w:pPr>
            <w:r w:rsidRPr="0000083E">
              <w:rPr>
                <w:rFonts w:ascii="Calibri" w:eastAsia="Calibri" w:hAnsi="Calibri" w:cs="Calibri"/>
                <w:sz w:val="20"/>
                <w:szCs w:val="20"/>
              </w:rPr>
              <w:t>X</w:t>
            </w:r>
          </w:p>
        </w:tc>
        <w:tc>
          <w:tcPr>
            <w:tcW w:w="1260" w:type="dxa"/>
            <w:vAlign w:val="center"/>
          </w:tcPr>
          <w:p w14:paraId="47CFB91B" w14:textId="77777777" w:rsidR="0000083E" w:rsidRPr="0000083E" w:rsidRDefault="0000083E" w:rsidP="00420211">
            <w:pPr>
              <w:tabs>
                <w:tab w:val="left" w:pos="720"/>
                <w:tab w:val="right" w:leader="dot" w:pos="9360"/>
              </w:tabs>
              <w:jc w:val="center"/>
              <w:rPr>
                <w:rFonts w:ascii="Calibri" w:eastAsia="Calibri" w:hAnsi="Calibri" w:cs="Times New Roman"/>
                <w:sz w:val="20"/>
                <w:szCs w:val="20"/>
              </w:rPr>
            </w:pPr>
            <w:r w:rsidRPr="0000083E">
              <w:rPr>
                <w:rFonts w:ascii="Calibri" w:eastAsia="Calibri" w:hAnsi="Calibri" w:cs="Calibri"/>
                <w:sz w:val="20"/>
                <w:szCs w:val="20"/>
              </w:rPr>
              <w:t>X</w:t>
            </w:r>
          </w:p>
        </w:tc>
        <w:tc>
          <w:tcPr>
            <w:tcW w:w="900" w:type="dxa"/>
            <w:vAlign w:val="center"/>
          </w:tcPr>
          <w:p w14:paraId="06FD1721" w14:textId="77777777" w:rsidR="0000083E" w:rsidRPr="0000083E" w:rsidRDefault="0000083E" w:rsidP="00420211">
            <w:pPr>
              <w:tabs>
                <w:tab w:val="left" w:pos="720"/>
                <w:tab w:val="right" w:leader="dot" w:pos="9360"/>
              </w:tabs>
              <w:jc w:val="center"/>
              <w:rPr>
                <w:rFonts w:ascii="Calibri" w:eastAsia="Calibri" w:hAnsi="Calibri" w:cs="Times New Roman"/>
                <w:sz w:val="20"/>
                <w:szCs w:val="20"/>
              </w:rPr>
            </w:pPr>
            <w:r w:rsidRPr="0000083E">
              <w:rPr>
                <w:rFonts w:ascii="Calibri" w:eastAsia="Calibri" w:hAnsi="Calibri" w:cs="Calibri"/>
                <w:sz w:val="20"/>
                <w:szCs w:val="20"/>
              </w:rPr>
              <w:t>X</w:t>
            </w:r>
          </w:p>
        </w:tc>
        <w:tc>
          <w:tcPr>
            <w:tcW w:w="810" w:type="dxa"/>
            <w:vAlign w:val="center"/>
          </w:tcPr>
          <w:p w14:paraId="366D0A0E" w14:textId="77777777" w:rsidR="0000083E" w:rsidRPr="0000083E" w:rsidRDefault="0000083E" w:rsidP="00420211">
            <w:pPr>
              <w:tabs>
                <w:tab w:val="left" w:pos="720"/>
                <w:tab w:val="right" w:leader="dot" w:pos="9360"/>
              </w:tabs>
              <w:jc w:val="center"/>
              <w:rPr>
                <w:rFonts w:ascii="Calibri" w:eastAsia="Calibri" w:hAnsi="Calibri" w:cs="Calibri"/>
                <w:sz w:val="20"/>
                <w:szCs w:val="20"/>
              </w:rPr>
            </w:pPr>
          </w:p>
        </w:tc>
        <w:tc>
          <w:tcPr>
            <w:tcW w:w="1350" w:type="dxa"/>
            <w:vAlign w:val="center"/>
          </w:tcPr>
          <w:p w14:paraId="1027965A" w14:textId="77777777" w:rsidR="0000083E" w:rsidRPr="0000083E" w:rsidRDefault="0000083E" w:rsidP="00420211">
            <w:pPr>
              <w:tabs>
                <w:tab w:val="left" w:pos="720"/>
                <w:tab w:val="right" w:leader="dot" w:pos="9360"/>
              </w:tabs>
              <w:jc w:val="center"/>
              <w:rPr>
                <w:rFonts w:ascii="Calibri" w:eastAsia="Calibri" w:hAnsi="Calibri" w:cs="Calibri"/>
                <w:sz w:val="20"/>
                <w:szCs w:val="20"/>
              </w:rPr>
            </w:pPr>
          </w:p>
        </w:tc>
        <w:tc>
          <w:tcPr>
            <w:tcW w:w="990" w:type="dxa"/>
            <w:vAlign w:val="center"/>
          </w:tcPr>
          <w:p w14:paraId="59BFB750" w14:textId="77777777" w:rsidR="0000083E" w:rsidRPr="0000083E" w:rsidRDefault="0000083E" w:rsidP="00420211">
            <w:pPr>
              <w:tabs>
                <w:tab w:val="left" w:pos="720"/>
                <w:tab w:val="right" w:leader="dot" w:pos="9360"/>
              </w:tabs>
              <w:jc w:val="center"/>
              <w:rPr>
                <w:rFonts w:ascii="Calibri" w:eastAsia="Calibri" w:hAnsi="Calibri" w:cs="Calibri"/>
                <w:sz w:val="20"/>
                <w:szCs w:val="20"/>
              </w:rPr>
            </w:pPr>
          </w:p>
        </w:tc>
        <w:tc>
          <w:tcPr>
            <w:tcW w:w="990" w:type="dxa"/>
            <w:vAlign w:val="center"/>
          </w:tcPr>
          <w:p w14:paraId="2AE84FE1" w14:textId="6FD99F52" w:rsidR="0000083E" w:rsidRPr="0000083E" w:rsidRDefault="008E5170" w:rsidP="00420211">
            <w:pPr>
              <w:tabs>
                <w:tab w:val="left" w:pos="720"/>
                <w:tab w:val="right" w:leader="dot" w:pos="9360"/>
              </w:tabs>
              <w:jc w:val="center"/>
              <w:rPr>
                <w:rFonts w:ascii="Calibri" w:eastAsia="Calibri" w:hAnsi="Calibri" w:cs="Times New Roman"/>
                <w:sz w:val="20"/>
                <w:szCs w:val="20"/>
              </w:rPr>
            </w:pPr>
            <w:r>
              <w:rPr>
                <w:rFonts w:ascii="Calibri" w:eastAsia="Calibri" w:hAnsi="Calibri" w:cs="Times New Roman"/>
                <w:sz w:val="20"/>
                <w:szCs w:val="20"/>
              </w:rPr>
              <w:t>X</w:t>
            </w:r>
          </w:p>
        </w:tc>
        <w:tc>
          <w:tcPr>
            <w:tcW w:w="1170" w:type="dxa"/>
            <w:vAlign w:val="center"/>
          </w:tcPr>
          <w:p w14:paraId="2D4D4015" w14:textId="77777777" w:rsidR="0000083E" w:rsidRPr="0000083E" w:rsidRDefault="0000083E" w:rsidP="00420211">
            <w:pPr>
              <w:tabs>
                <w:tab w:val="left" w:pos="720"/>
                <w:tab w:val="right" w:leader="dot" w:pos="9360"/>
              </w:tabs>
              <w:jc w:val="center"/>
              <w:rPr>
                <w:rFonts w:ascii="Calibri" w:eastAsia="Calibri" w:hAnsi="Calibri" w:cs="Times New Roman"/>
                <w:sz w:val="20"/>
                <w:szCs w:val="20"/>
              </w:rPr>
            </w:pPr>
            <w:r w:rsidRPr="0000083E">
              <w:rPr>
                <w:rFonts w:ascii="Calibri" w:eastAsia="Calibri" w:hAnsi="Calibri" w:cs="Times New Roman"/>
                <w:sz w:val="20"/>
                <w:szCs w:val="20"/>
              </w:rPr>
              <w:t>X</w:t>
            </w:r>
          </w:p>
          <w:p w14:paraId="07A03B33" w14:textId="77777777" w:rsidR="0000083E" w:rsidRPr="0000083E" w:rsidRDefault="0000083E" w:rsidP="00420211">
            <w:pPr>
              <w:tabs>
                <w:tab w:val="left" w:pos="720"/>
                <w:tab w:val="right" w:leader="dot" w:pos="9360"/>
              </w:tabs>
              <w:jc w:val="center"/>
              <w:rPr>
                <w:rFonts w:ascii="Calibri" w:eastAsia="Calibri" w:hAnsi="Calibri" w:cs="Times New Roman"/>
                <w:sz w:val="20"/>
                <w:szCs w:val="20"/>
                <w:highlight w:val="yellow"/>
              </w:rPr>
            </w:pPr>
            <w:r w:rsidRPr="0000083E">
              <w:rPr>
                <w:rFonts w:ascii="Calibri" w:eastAsia="Calibri" w:hAnsi="Calibri" w:cs="Times New Roman"/>
                <w:sz w:val="20"/>
                <w:szCs w:val="20"/>
              </w:rPr>
              <w:t>(Breadth)</w:t>
            </w:r>
          </w:p>
        </w:tc>
      </w:tr>
    </w:tbl>
    <w:p w14:paraId="465C6653" w14:textId="1F2D1699" w:rsidR="0000083E" w:rsidRPr="0000083E" w:rsidRDefault="008E5170" w:rsidP="0000083E">
      <w:pPr>
        <w:ind w:hanging="540"/>
        <w:rPr>
          <w:rFonts w:eastAsia="Calibri" w:cstheme="minorHAnsi"/>
          <w:i/>
          <w:iCs/>
          <w:sz w:val="24"/>
          <w:szCs w:val="24"/>
        </w:rPr>
      </w:pPr>
      <w:r>
        <w:rPr>
          <w:rFonts w:eastAsia="Calibri" w:cstheme="minorHAnsi"/>
          <w:i/>
          <w:iCs/>
          <w:sz w:val="24"/>
          <w:szCs w:val="24"/>
        </w:rPr>
        <w:t>EQJS</w:t>
      </w:r>
      <w:r w:rsidR="0000083E" w:rsidRPr="0000083E">
        <w:rPr>
          <w:rFonts w:eastAsia="Calibri" w:cstheme="minorHAnsi"/>
          <w:i/>
          <w:iCs/>
          <w:sz w:val="24"/>
          <w:szCs w:val="24"/>
        </w:rPr>
        <w:t xml:space="preserve"> courses may also contribute to other learning outcomes as determined by faculty. </w:t>
      </w:r>
    </w:p>
    <w:tbl>
      <w:tblPr>
        <w:tblpPr w:leftFromText="180" w:rightFromText="180" w:vertAnchor="text" w:horzAnchor="margin" w:tblpXSpec="center" w:tblpY="230"/>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2847"/>
        <w:gridCol w:w="2984"/>
        <w:gridCol w:w="3079"/>
      </w:tblGrid>
      <w:tr w:rsidR="0083051A" w:rsidRPr="005104A5" w14:paraId="7D547E2B" w14:textId="77777777" w:rsidTr="0083051A">
        <w:trPr>
          <w:cantSplit/>
          <w:trHeight w:val="1520"/>
        </w:trPr>
        <w:tc>
          <w:tcPr>
            <w:tcW w:w="1615" w:type="dxa"/>
            <w:shd w:val="clear" w:color="auto" w:fill="BFBFBF" w:themeFill="background1" w:themeFillShade="BF"/>
            <w:vAlign w:val="center"/>
          </w:tcPr>
          <w:p w14:paraId="784A5DE3" w14:textId="77777777" w:rsidR="0083051A" w:rsidRPr="005104A5" w:rsidRDefault="0083051A" w:rsidP="008305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jc w:val="center"/>
              <w:rPr>
                <w:rFonts w:eastAsia="Calibri" w:cstheme="minorHAnsi"/>
                <w:b/>
                <w:sz w:val="20"/>
                <w:szCs w:val="20"/>
              </w:rPr>
            </w:pPr>
            <w:r w:rsidRPr="005104A5">
              <w:rPr>
                <w:rFonts w:eastAsia="Calibri" w:cstheme="minorHAnsi"/>
                <w:b/>
                <w:sz w:val="20"/>
                <w:szCs w:val="20"/>
              </w:rPr>
              <w:lastRenderedPageBreak/>
              <w:t>WSU Learning Goal of Undergraduate Education</w:t>
            </w:r>
          </w:p>
        </w:tc>
        <w:tc>
          <w:tcPr>
            <w:tcW w:w="2847" w:type="dxa"/>
            <w:shd w:val="clear" w:color="auto" w:fill="BFBFBF" w:themeFill="background1" w:themeFillShade="BF"/>
            <w:vAlign w:val="center"/>
          </w:tcPr>
          <w:p w14:paraId="5800C786" w14:textId="77777777" w:rsidR="0083051A" w:rsidRDefault="0083051A" w:rsidP="008305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jc w:val="center"/>
              <w:rPr>
                <w:rFonts w:eastAsia="Calibri" w:cstheme="minorHAnsi"/>
                <w:b/>
                <w:sz w:val="20"/>
                <w:szCs w:val="20"/>
              </w:rPr>
            </w:pPr>
          </w:p>
          <w:p w14:paraId="30F33579" w14:textId="77777777" w:rsidR="0083051A" w:rsidRDefault="0083051A" w:rsidP="008305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jc w:val="center"/>
              <w:rPr>
                <w:rFonts w:eastAsia="Calibri" w:cstheme="minorHAnsi"/>
                <w:b/>
                <w:sz w:val="20"/>
                <w:szCs w:val="20"/>
              </w:rPr>
            </w:pPr>
            <w:r>
              <w:rPr>
                <w:rFonts w:eastAsia="Calibri" w:cstheme="minorHAnsi"/>
                <w:b/>
                <w:sz w:val="20"/>
                <w:szCs w:val="20"/>
              </w:rPr>
              <w:t>EQJS</w:t>
            </w:r>
            <w:r w:rsidRPr="005104A5">
              <w:rPr>
                <w:rFonts w:eastAsia="Calibri" w:cstheme="minorHAnsi"/>
                <w:b/>
                <w:sz w:val="20"/>
                <w:szCs w:val="20"/>
              </w:rPr>
              <w:t xml:space="preserve"> Designator Learning Outcomes</w:t>
            </w:r>
          </w:p>
          <w:p w14:paraId="7D573BF8" w14:textId="77777777" w:rsidR="0083051A" w:rsidRPr="005104A5" w:rsidRDefault="0083051A" w:rsidP="008305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jc w:val="center"/>
              <w:rPr>
                <w:rFonts w:eastAsia="Calibri" w:cstheme="minorHAnsi"/>
                <w:b/>
                <w:sz w:val="20"/>
                <w:szCs w:val="20"/>
              </w:rPr>
            </w:pPr>
            <w:r w:rsidRPr="005104A5">
              <w:rPr>
                <w:rFonts w:eastAsia="Calibri" w:cstheme="minorHAnsi"/>
                <w:bCs/>
                <w:i/>
                <w:iCs/>
                <w:sz w:val="16"/>
                <w:szCs w:val="16"/>
              </w:rPr>
              <w:t>Students who successfully complete a [</w:t>
            </w:r>
            <w:r>
              <w:rPr>
                <w:rFonts w:eastAsia="Calibri" w:cstheme="minorHAnsi"/>
                <w:bCs/>
                <w:i/>
                <w:iCs/>
                <w:sz w:val="16"/>
                <w:szCs w:val="16"/>
              </w:rPr>
              <w:t>EQJS</w:t>
            </w:r>
            <w:r w:rsidRPr="005104A5">
              <w:rPr>
                <w:rFonts w:eastAsia="Calibri" w:cstheme="minorHAnsi"/>
                <w:bCs/>
                <w:i/>
                <w:iCs/>
                <w:sz w:val="16"/>
                <w:szCs w:val="16"/>
              </w:rPr>
              <w:t>] course should be able to:</w:t>
            </w:r>
          </w:p>
          <w:p w14:paraId="16A49135" w14:textId="77777777" w:rsidR="0083051A" w:rsidRPr="005104A5" w:rsidRDefault="0083051A" w:rsidP="0083051A">
            <w:pPr>
              <w:spacing w:line="240" w:lineRule="auto"/>
              <w:contextualSpacing/>
              <w:jc w:val="center"/>
              <w:rPr>
                <w:rFonts w:cstheme="minorHAnsi"/>
                <w:sz w:val="20"/>
                <w:szCs w:val="20"/>
              </w:rPr>
            </w:pPr>
          </w:p>
        </w:tc>
        <w:tc>
          <w:tcPr>
            <w:tcW w:w="2984" w:type="dxa"/>
            <w:shd w:val="clear" w:color="auto" w:fill="BFBFBF" w:themeFill="background1" w:themeFillShade="BF"/>
            <w:vAlign w:val="center"/>
          </w:tcPr>
          <w:p w14:paraId="42635853" w14:textId="77777777" w:rsidR="0083051A" w:rsidRPr="005104A5" w:rsidRDefault="0083051A" w:rsidP="0083051A">
            <w:pPr>
              <w:spacing w:after="0" w:line="240" w:lineRule="auto"/>
              <w:contextualSpacing/>
              <w:jc w:val="center"/>
              <w:outlineLvl w:val="3"/>
              <w:rPr>
                <w:rFonts w:eastAsia="Calibri" w:cstheme="minorHAnsi"/>
                <w:b/>
                <w:sz w:val="20"/>
                <w:szCs w:val="20"/>
              </w:rPr>
            </w:pPr>
          </w:p>
          <w:p w14:paraId="78403939" w14:textId="77777777" w:rsidR="0083051A" w:rsidRPr="005104A5" w:rsidRDefault="0083051A" w:rsidP="0083051A">
            <w:pPr>
              <w:spacing w:after="0" w:line="240" w:lineRule="auto"/>
              <w:jc w:val="center"/>
              <w:outlineLvl w:val="3"/>
              <w:rPr>
                <w:rFonts w:eastAsia="Calibri" w:cstheme="minorHAnsi"/>
                <w:b/>
                <w:sz w:val="20"/>
                <w:szCs w:val="20"/>
              </w:rPr>
            </w:pPr>
            <w:r w:rsidRPr="005104A5">
              <w:rPr>
                <w:rFonts w:eastAsia="Calibri" w:cstheme="minorHAnsi"/>
                <w:b/>
                <w:sz w:val="20"/>
                <w:szCs w:val="20"/>
              </w:rPr>
              <w:t>Course Learning Outcomes</w:t>
            </w:r>
            <w:r w:rsidRPr="005104A5">
              <w:rPr>
                <w:rFonts w:eastAsia="Calibri" w:cstheme="minorHAnsi"/>
                <w:i/>
                <w:iCs/>
                <w:sz w:val="20"/>
                <w:szCs w:val="20"/>
              </w:rPr>
              <w:t xml:space="preserve"> </w:t>
            </w:r>
            <w:r w:rsidRPr="005104A5">
              <w:rPr>
                <w:rFonts w:eastAsia="Calibri" w:cstheme="minorHAnsi"/>
                <w:i/>
                <w:iCs/>
                <w:sz w:val="16"/>
                <w:szCs w:val="16"/>
              </w:rPr>
              <w:t>Students who successfully complete this course should be able to:</w:t>
            </w:r>
          </w:p>
        </w:tc>
        <w:tc>
          <w:tcPr>
            <w:tcW w:w="3079" w:type="dxa"/>
            <w:shd w:val="clear" w:color="auto" w:fill="BFBFBF" w:themeFill="background1" w:themeFillShade="BF"/>
            <w:vAlign w:val="center"/>
          </w:tcPr>
          <w:p w14:paraId="52E02E13" w14:textId="77777777" w:rsidR="0083051A" w:rsidRPr="005104A5" w:rsidRDefault="0083051A" w:rsidP="0083051A">
            <w:pPr>
              <w:spacing w:after="0" w:line="240" w:lineRule="auto"/>
              <w:contextualSpacing/>
              <w:jc w:val="center"/>
              <w:outlineLvl w:val="3"/>
              <w:rPr>
                <w:rFonts w:eastAsia="Calibri" w:cstheme="minorHAnsi"/>
                <w:b/>
                <w:sz w:val="20"/>
                <w:szCs w:val="20"/>
              </w:rPr>
            </w:pPr>
            <w:r w:rsidRPr="005104A5">
              <w:rPr>
                <w:rFonts w:eastAsia="Calibri" w:cstheme="minorHAnsi"/>
                <w:b/>
                <w:sz w:val="20"/>
                <w:szCs w:val="20"/>
              </w:rPr>
              <w:t>Course Learning Activities, Assignments, and Assessments</w:t>
            </w:r>
          </w:p>
        </w:tc>
      </w:tr>
      <w:tr w:rsidR="0083051A" w:rsidRPr="005104A5" w14:paraId="32CF3425" w14:textId="77777777" w:rsidTr="0083051A">
        <w:trPr>
          <w:cantSplit/>
          <w:trHeight w:val="1358"/>
        </w:trPr>
        <w:tc>
          <w:tcPr>
            <w:tcW w:w="1615" w:type="dxa"/>
            <w:shd w:val="clear" w:color="auto" w:fill="D9D9D9" w:themeFill="background1" w:themeFillShade="D9"/>
            <w:vAlign w:val="center"/>
          </w:tcPr>
          <w:p w14:paraId="2D792DB6" w14:textId="77777777" w:rsidR="0083051A" w:rsidRPr="005104A5" w:rsidRDefault="0083051A" w:rsidP="0083051A">
            <w:pPr>
              <w:spacing w:after="0" w:line="240" w:lineRule="auto"/>
              <w:jc w:val="center"/>
              <w:outlineLvl w:val="3"/>
              <w:rPr>
                <w:rFonts w:cstheme="minorHAnsi"/>
                <w:b/>
                <w:bCs/>
                <w:sz w:val="20"/>
                <w:szCs w:val="20"/>
              </w:rPr>
            </w:pPr>
            <w:r>
              <w:rPr>
                <w:rFonts w:cstheme="minorHAnsi"/>
                <w:b/>
                <w:bCs/>
                <w:sz w:val="20"/>
                <w:szCs w:val="20"/>
              </w:rPr>
              <w:t>Breadth of Learning</w:t>
            </w:r>
          </w:p>
        </w:tc>
        <w:tc>
          <w:tcPr>
            <w:tcW w:w="2847" w:type="dxa"/>
            <w:shd w:val="clear" w:color="auto" w:fill="D9D9D9" w:themeFill="background1" w:themeFillShade="D9"/>
            <w:vAlign w:val="center"/>
          </w:tcPr>
          <w:p w14:paraId="1CDB5CC9" w14:textId="77777777" w:rsidR="0083051A" w:rsidRPr="007C3EB5" w:rsidRDefault="0083051A" w:rsidP="0083051A">
            <w:pPr>
              <w:spacing w:after="0" w:line="240" w:lineRule="auto"/>
              <w:jc w:val="center"/>
              <w:outlineLvl w:val="3"/>
              <w:rPr>
                <w:rFonts w:eastAsia="Calibri" w:cstheme="minorHAnsi"/>
                <w:sz w:val="20"/>
                <w:szCs w:val="20"/>
              </w:rPr>
            </w:pPr>
            <w:r w:rsidRPr="008E5170">
              <w:rPr>
                <w:rFonts w:eastAsiaTheme="minorEastAsia"/>
                <w:sz w:val="20"/>
                <w:szCs w:val="20"/>
                <w:u w:val="single"/>
              </w:rPr>
              <w:t>Understand</w:t>
            </w:r>
            <w:r w:rsidRPr="008E5170">
              <w:rPr>
                <w:rFonts w:eastAsiaTheme="minorEastAsia"/>
                <w:sz w:val="20"/>
                <w:szCs w:val="20"/>
              </w:rPr>
              <w:t xml:space="preserve"> fundamental knowledge and concepts related to power, privilege, equity, and/or justice as appropriate to the discipline.</w:t>
            </w:r>
          </w:p>
        </w:tc>
        <w:tc>
          <w:tcPr>
            <w:tcW w:w="2984" w:type="dxa"/>
            <w:vAlign w:val="center"/>
          </w:tcPr>
          <w:p w14:paraId="2683514E" w14:textId="77777777" w:rsidR="0083051A" w:rsidRPr="005104A5" w:rsidRDefault="0083051A" w:rsidP="0083051A">
            <w:pPr>
              <w:spacing w:after="0" w:line="240" w:lineRule="auto"/>
              <w:jc w:val="center"/>
              <w:outlineLvl w:val="3"/>
              <w:rPr>
                <w:rFonts w:eastAsia="Calibri" w:cstheme="minorHAnsi"/>
                <w:sz w:val="20"/>
                <w:szCs w:val="20"/>
              </w:rPr>
            </w:pPr>
          </w:p>
        </w:tc>
        <w:tc>
          <w:tcPr>
            <w:tcW w:w="3079" w:type="dxa"/>
            <w:vAlign w:val="center"/>
          </w:tcPr>
          <w:p w14:paraId="16D2DF5A" w14:textId="77777777" w:rsidR="0083051A" w:rsidRPr="005104A5" w:rsidRDefault="0083051A" w:rsidP="0083051A">
            <w:pPr>
              <w:spacing w:after="0" w:line="240" w:lineRule="auto"/>
              <w:jc w:val="center"/>
              <w:outlineLvl w:val="3"/>
              <w:rPr>
                <w:rFonts w:eastAsia="Calibri" w:cstheme="minorHAnsi"/>
                <w:sz w:val="20"/>
                <w:szCs w:val="20"/>
              </w:rPr>
            </w:pPr>
          </w:p>
        </w:tc>
      </w:tr>
      <w:tr w:rsidR="0083051A" w:rsidRPr="005104A5" w14:paraId="31DC0A86" w14:textId="77777777" w:rsidTr="0083051A">
        <w:trPr>
          <w:cantSplit/>
          <w:trHeight w:val="1533"/>
        </w:trPr>
        <w:tc>
          <w:tcPr>
            <w:tcW w:w="1615" w:type="dxa"/>
            <w:shd w:val="clear" w:color="auto" w:fill="D9D9D9" w:themeFill="background1" w:themeFillShade="D9"/>
            <w:vAlign w:val="center"/>
          </w:tcPr>
          <w:p w14:paraId="52104EF9" w14:textId="77777777" w:rsidR="0083051A" w:rsidRPr="005104A5" w:rsidRDefault="0083051A" w:rsidP="0083051A">
            <w:pPr>
              <w:spacing w:line="240" w:lineRule="auto"/>
              <w:jc w:val="center"/>
              <w:rPr>
                <w:rFonts w:cstheme="minorHAnsi"/>
                <w:b/>
                <w:bCs/>
                <w:sz w:val="20"/>
                <w:szCs w:val="20"/>
              </w:rPr>
            </w:pPr>
            <w:r>
              <w:rPr>
                <w:rFonts w:cstheme="minorHAnsi"/>
                <w:b/>
                <w:bCs/>
                <w:sz w:val="20"/>
                <w:szCs w:val="20"/>
              </w:rPr>
              <w:t>Understand Diversity</w:t>
            </w:r>
          </w:p>
        </w:tc>
        <w:tc>
          <w:tcPr>
            <w:tcW w:w="2847" w:type="dxa"/>
            <w:shd w:val="clear" w:color="auto" w:fill="D9D9D9" w:themeFill="background1" w:themeFillShade="D9"/>
            <w:vAlign w:val="bottom"/>
          </w:tcPr>
          <w:p w14:paraId="56B29700" w14:textId="77777777" w:rsidR="0083051A" w:rsidRPr="008E5170" w:rsidRDefault="0083051A" w:rsidP="0083051A">
            <w:pPr>
              <w:spacing w:line="240" w:lineRule="auto"/>
              <w:jc w:val="center"/>
              <w:rPr>
                <w:rFonts w:cstheme="minorHAnsi"/>
                <w:sz w:val="20"/>
                <w:szCs w:val="20"/>
              </w:rPr>
            </w:pPr>
            <w:r w:rsidRPr="008E5170">
              <w:rPr>
                <w:rFonts w:eastAsiaTheme="minorEastAsia"/>
                <w:sz w:val="20"/>
                <w:szCs w:val="20"/>
                <w:u w:val="single"/>
              </w:rPr>
              <w:t>Recognize</w:t>
            </w:r>
            <w:r w:rsidRPr="008E5170">
              <w:rPr>
                <w:rFonts w:eastAsiaTheme="minorEastAsia"/>
                <w:sz w:val="20"/>
                <w:szCs w:val="20"/>
              </w:rPr>
              <w:t xml:space="preserve"> how structures of power and privilege shape unequal social positioning and/or sustain unethical worldviews or ideologies</w:t>
            </w:r>
            <w:r>
              <w:rPr>
                <w:rFonts w:eastAsiaTheme="minorEastAsia"/>
                <w:sz w:val="20"/>
                <w:szCs w:val="20"/>
              </w:rPr>
              <w:t>.</w:t>
            </w:r>
          </w:p>
        </w:tc>
        <w:tc>
          <w:tcPr>
            <w:tcW w:w="2984" w:type="dxa"/>
            <w:vAlign w:val="center"/>
          </w:tcPr>
          <w:p w14:paraId="1C57AE19" w14:textId="77777777" w:rsidR="0083051A" w:rsidRPr="005104A5" w:rsidRDefault="0083051A" w:rsidP="0083051A">
            <w:pPr>
              <w:spacing w:after="0" w:line="240" w:lineRule="auto"/>
              <w:jc w:val="center"/>
              <w:outlineLvl w:val="3"/>
              <w:rPr>
                <w:rFonts w:eastAsia="Calibri" w:cstheme="minorHAnsi"/>
                <w:sz w:val="20"/>
                <w:szCs w:val="20"/>
              </w:rPr>
            </w:pPr>
          </w:p>
        </w:tc>
        <w:tc>
          <w:tcPr>
            <w:tcW w:w="3079" w:type="dxa"/>
            <w:vAlign w:val="center"/>
          </w:tcPr>
          <w:p w14:paraId="6ABEB96A" w14:textId="77777777" w:rsidR="0083051A" w:rsidRPr="005104A5" w:rsidRDefault="0083051A" w:rsidP="0083051A">
            <w:pPr>
              <w:spacing w:after="0" w:line="240" w:lineRule="auto"/>
              <w:jc w:val="center"/>
              <w:outlineLvl w:val="3"/>
              <w:rPr>
                <w:rFonts w:eastAsia="Calibri" w:cstheme="minorHAnsi"/>
                <w:sz w:val="20"/>
                <w:szCs w:val="20"/>
              </w:rPr>
            </w:pPr>
          </w:p>
        </w:tc>
      </w:tr>
      <w:tr w:rsidR="0083051A" w:rsidRPr="005104A5" w14:paraId="34ED90F7" w14:textId="77777777" w:rsidTr="0083051A">
        <w:trPr>
          <w:trHeight w:val="848"/>
        </w:trPr>
        <w:tc>
          <w:tcPr>
            <w:tcW w:w="1615" w:type="dxa"/>
            <w:shd w:val="clear" w:color="auto" w:fill="D9D9D9" w:themeFill="background1" w:themeFillShade="D9"/>
            <w:vAlign w:val="center"/>
          </w:tcPr>
          <w:p w14:paraId="618C898C" w14:textId="77777777" w:rsidR="0083051A" w:rsidRPr="005104A5" w:rsidRDefault="0083051A" w:rsidP="0083051A">
            <w:pPr>
              <w:spacing w:after="0" w:line="240" w:lineRule="auto"/>
              <w:jc w:val="center"/>
              <w:outlineLvl w:val="3"/>
              <w:rPr>
                <w:rFonts w:cstheme="minorHAnsi"/>
                <w:b/>
                <w:bCs/>
                <w:sz w:val="20"/>
                <w:szCs w:val="20"/>
              </w:rPr>
            </w:pPr>
            <w:r>
              <w:rPr>
                <w:rFonts w:cstheme="minorHAnsi"/>
                <w:b/>
                <w:bCs/>
                <w:sz w:val="20"/>
                <w:szCs w:val="20"/>
              </w:rPr>
              <w:t>Critical Thinking</w:t>
            </w:r>
          </w:p>
        </w:tc>
        <w:tc>
          <w:tcPr>
            <w:tcW w:w="2847" w:type="dxa"/>
            <w:shd w:val="clear" w:color="auto" w:fill="D9D9D9" w:themeFill="background1" w:themeFillShade="D9"/>
            <w:vAlign w:val="center"/>
          </w:tcPr>
          <w:p w14:paraId="6785BC03" w14:textId="77777777" w:rsidR="0083051A" w:rsidRPr="008E5170" w:rsidRDefault="0083051A" w:rsidP="0083051A">
            <w:pPr>
              <w:spacing w:after="0" w:line="240" w:lineRule="auto"/>
              <w:jc w:val="center"/>
              <w:outlineLvl w:val="3"/>
              <w:rPr>
                <w:rFonts w:cstheme="minorHAnsi"/>
                <w:sz w:val="20"/>
                <w:szCs w:val="20"/>
              </w:rPr>
            </w:pPr>
            <w:r w:rsidRPr="008E5170">
              <w:rPr>
                <w:rFonts w:eastAsiaTheme="minorEastAsia"/>
                <w:color w:val="000000" w:themeColor="text1"/>
                <w:sz w:val="20"/>
                <w:szCs w:val="20"/>
                <w:u w:val="single"/>
              </w:rPr>
              <w:t>Recognize</w:t>
            </w:r>
            <w:r w:rsidRPr="008E5170">
              <w:rPr>
                <w:rFonts w:eastAsiaTheme="minorEastAsia"/>
                <w:color w:val="000000" w:themeColor="text1"/>
                <w:sz w:val="20"/>
                <w:szCs w:val="20"/>
              </w:rPr>
              <w:t xml:space="preserve"> the ways in which one’s own social identities impact one’s engagement with others</w:t>
            </w:r>
            <w:r>
              <w:rPr>
                <w:rFonts w:eastAsiaTheme="minorEastAsia"/>
                <w:color w:val="000000" w:themeColor="text1"/>
                <w:sz w:val="20"/>
                <w:szCs w:val="20"/>
              </w:rPr>
              <w:t>.</w:t>
            </w:r>
          </w:p>
        </w:tc>
        <w:tc>
          <w:tcPr>
            <w:tcW w:w="2984" w:type="dxa"/>
            <w:vAlign w:val="center"/>
          </w:tcPr>
          <w:p w14:paraId="108ABE79" w14:textId="77777777" w:rsidR="0083051A" w:rsidRPr="005104A5" w:rsidRDefault="0083051A" w:rsidP="0083051A">
            <w:pPr>
              <w:spacing w:after="0" w:line="240" w:lineRule="auto"/>
              <w:jc w:val="center"/>
              <w:outlineLvl w:val="3"/>
              <w:rPr>
                <w:rFonts w:eastAsia="Calibri" w:cstheme="minorHAnsi"/>
                <w:sz w:val="20"/>
                <w:szCs w:val="20"/>
              </w:rPr>
            </w:pPr>
          </w:p>
        </w:tc>
        <w:tc>
          <w:tcPr>
            <w:tcW w:w="3079" w:type="dxa"/>
            <w:vAlign w:val="center"/>
          </w:tcPr>
          <w:p w14:paraId="35B9D357" w14:textId="77777777" w:rsidR="0083051A" w:rsidRPr="005104A5" w:rsidRDefault="0083051A" w:rsidP="0083051A">
            <w:pPr>
              <w:spacing w:after="0" w:line="240" w:lineRule="auto"/>
              <w:jc w:val="center"/>
              <w:outlineLvl w:val="3"/>
              <w:rPr>
                <w:rFonts w:eastAsia="Calibri" w:cstheme="minorHAnsi"/>
                <w:sz w:val="20"/>
                <w:szCs w:val="20"/>
              </w:rPr>
            </w:pPr>
          </w:p>
        </w:tc>
      </w:tr>
      <w:tr w:rsidR="0083051A" w:rsidRPr="005104A5" w14:paraId="752D9567" w14:textId="77777777" w:rsidTr="0083051A">
        <w:trPr>
          <w:cantSplit/>
          <w:trHeight w:val="1223"/>
        </w:trPr>
        <w:tc>
          <w:tcPr>
            <w:tcW w:w="1615" w:type="dxa"/>
            <w:shd w:val="clear" w:color="auto" w:fill="D9D9D9" w:themeFill="background1" w:themeFillShade="D9"/>
            <w:vAlign w:val="center"/>
          </w:tcPr>
          <w:p w14:paraId="18DF1DD6" w14:textId="77777777" w:rsidR="0083051A" w:rsidRPr="005104A5" w:rsidRDefault="0083051A" w:rsidP="0083051A">
            <w:pPr>
              <w:spacing w:after="0" w:line="240" w:lineRule="auto"/>
              <w:jc w:val="center"/>
              <w:outlineLvl w:val="3"/>
              <w:rPr>
                <w:rFonts w:cstheme="minorHAnsi"/>
                <w:b/>
                <w:bCs/>
                <w:sz w:val="20"/>
                <w:szCs w:val="20"/>
              </w:rPr>
            </w:pPr>
            <w:r>
              <w:rPr>
                <w:rFonts w:cstheme="minorHAnsi"/>
                <w:b/>
                <w:bCs/>
                <w:sz w:val="20"/>
                <w:szCs w:val="20"/>
              </w:rPr>
              <w:t>Information Literacy</w:t>
            </w:r>
          </w:p>
        </w:tc>
        <w:tc>
          <w:tcPr>
            <w:tcW w:w="2847" w:type="dxa"/>
            <w:shd w:val="clear" w:color="auto" w:fill="D9D9D9" w:themeFill="background1" w:themeFillShade="D9"/>
            <w:vAlign w:val="center"/>
          </w:tcPr>
          <w:p w14:paraId="428866DF" w14:textId="77777777" w:rsidR="0083051A" w:rsidRPr="008E5170" w:rsidRDefault="0083051A" w:rsidP="0083051A">
            <w:pPr>
              <w:spacing w:after="0" w:line="240" w:lineRule="auto"/>
              <w:jc w:val="center"/>
              <w:outlineLvl w:val="3"/>
              <w:rPr>
                <w:rFonts w:eastAsia="Calibri" w:cstheme="minorHAnsi"/>
                <w:sz w:val="20"/>
                <w:szCs w:val="20"/>
              </w:rPr>
            </w:pPr>
            <w:r w:rsidRPr="008E5170">
              <w:rPr>
                <w:rFonts w:eastAsiaTheme="minorEastAsia"/>
                <w:color w:val="000000" w:themeColor="text1"/>
                <w:sz w:val="20"/>
                <w:szCs w:val="20"/>
                <w:u w:val="single"/>
              </w:rPr>
              <w:t>Identify</w:t>
            </w:r>
            <w:r w:rsidRPr="008E5170">
              <w:rPr>
                <w:rFonts w:eastAsiaTheme="minorEastAsia"/>
                <w:color w:val="000000" w:themeColor="text1"/>
                <w:sz w:val="20"/>
                <w:szCs w:val="20"/>
              </w:rPr>
              <w:t xml:space="preserve"> relevant sources of information that demonstrate </w:t>
            </w:r>
            <w:r w:rsidRPr="008E5170">
              <w:rPr>
                <w:rFonts w:eastAsiaTheme="minorEastAsia" w:cstheme="minorHAnsi"/>
                <w:sz w:val="20"/>
                <w:szCs w:val="20"/>
              </w:rPr>
              <w:t>how individuals, communities, and movements resist and/or transform institutions that (re-)produce inequality and oppression</w:t>
            </w:r>
            <w:r>
              <w:rPr>
                <w:rFonts w:eastAsiaTheme="minorEastAsia" w:cstheme="minorHAnsi"/>
                <w:sz w:val="20"/>
                <w:szCs w:val="20"/>
              </w:rPr>
              <w:t>.</w:t>
            </w:r>
          </w:p>
        </w:tc>
        <w:tc>
          <w:tcPr>
            <w:tcW w:w="2984" w:type="dxa"/>
            <w:vAlign w:val="center"/>
          </w:tcPr>
          <w:p w14:paraId="05DF4179" w14:textId="77777777" w:rsidR="0083051A" w:rsidRPr="005104A5" w:rsidRDefault="0083051A" w:rsidP="0083051A">
            <w:pPr>
              <w:spacing w:after="0" w:line="240" w:lineRule="auto"/>
              <w:jc w:val="center"/>
              <w:outlineLvl w:val="3"/>
              <w:rPr>
                <w:rFonts w:eastAsia="Calibri" w:cstheme="minorHAnsi"/>
                <w:sz w:val="20"/>
                <w:szCs w:val="20"/>
              </w:rPr>
            </w:pPr>
          </w:p>
        </w:tc>
        <w:tc>
          <w:tcPr>
            <w:tcW w:w="3079" w:type="dxa"/>
            <w:vAlign w:val="center"/>
          </w:tcPr>
          <w:p w14:paraId="60DF64DE" w14:textId="77777777" w:rsidR="0083051A" w:rsidRPr="005104A5" w:rsidRDefault="0083051A" w:rsidP="0083051A">
            <w:pPr>
              <w:spacing w:after="0" w:line="240" w:lineRule="auto"/>
              <w:jc w:val="center"/>
              <w:outlineLvl w:val="3"/>
              <w:rPr>
                <w:rFonts w:eastAsia="Calibri" w:cstheme="minorHAnsi"/>
                <w:sz w:val="20"/>
                <w:szCs w:val="20"/>
              </w:rPr>
            </w:pPr>
          </w:p>
        </w:tc>
      </w:tr>
      <w:tr w:rsidR="0083051A" w:rsidRPr="005104A5" w14:paraId="7EE7D2E3" w14:textId="77777777" w:rsidTr="0083051A">
        <w:trPr>
          <w:cantSplit/>
          <w:trHeight w:val="1223"/>
        </w:trPr>
        <w:tc>
          <w:tcPr>
            <w:tcW w:w="1615" w:type="dxa"/>
            <w:shd w:val="clear" w:color="auto" w:fill="D9D9D9" w:themeFill="background1" w:themeFillShade="D9"/>
            <w:vAlign w:val="center"/>
          </w:tcPr>
          <w:p w14:paraId="70C97AD0" w14:textId="77777777" w:rsidR="0083051A" w:rsidRPr="005104A5" w:rsidRDefault="0083051A" w:rsidP="0083051A">
            <w:pPr>
              <w:spacing w:after="0" w:line="240" w:lineRule="auto"/>
              <w:jc w:val="center"/>
              <w:outlineLvl w:val="3"/>
              <w:rPr>
                <w:rFonts w:cstheme="minorHAnsi"/>
                <w:b/>
                <w:bCs/>
                <w:sz w:val="20"/>
                <w:szCs w:val="20"/>
              </w:rPr>
            </w:pPr>
            <w:r>
              <w:rPr>
                <w:rFonts w:cstheme="minorHAnsi"/>
                <w:b/>
                <w:bCs/>
                <w:sz w:val="20"/>
                <w:szCs w:val="20"/>
              </w:rPr>
              <w:t>Information Literacy</w:t>
            </w:r>
          </w:p>
        </w:tc>
        <w:tc>
          <w:tcPr>
            <w:tcW w:w="2847" w:type="dxa"/>
            <w:shd w:val="clear" w:color="auto" w:fill="D9D9D9" w:themeFill="background1" w:themeFillShade="D9"/>
            <w:vAlign w:val="center"/>
          </w:tcPr>
          <w:p w14:paraId="7C797B10" w14:textId="77777777" w:rsidR="0083051A" w:rsidRPr="008E5170" w:rsidRDefault="0083051A" w:rsidP="0083051A">
            <w:pPr>
              <w:spacing w:after="0" w:line="240" w:lineRule="auto"/>
              <w:jc w:val="center"/>
              <w:outlineLvl w:val="3"/>
              <w:rPr>
                <w:rFonts w:cstheme="minorHAnsi"/>
                <w:sz w:val="20"/>
                <w:szCs w:val="20"/>
                <w:u w:val="single"/>
              </w:rPr>
            </w:pPr>
            <w:r w:rsidRPr="008E5170">
              <w:rPr>
                <w:rFonts w:cstheme="minorHAnsi"/>
                <w:sz w:val="20"/>
                <w:szCs w:val="20"/>
                <w:u w:val="single"/>
              </w:rPr>
              <w:t>Evaluate</w:t>
            </w:r>
            <w:r w:rsidRPr="008E5170">
              <w:rPr>
                <w:rFonts w:cstheme="minorHAnsi"/>
                <w:sz w:val="20"/>
                <w:szCs w:val="20"/>
              </w:rPr>
              <w:t xml:space="preserve">, at an appropriate level, claims or information about </w:t>
            </w:r>
            <w:r w:rsidRPr="008E5170">
              <w:rPr>
                <w:rFonts w:eastAsiaTheme="minorEastAsia"/>
                <w:sz w:val="20"/>
                <w:szCs w:val="20"/>
              </w:rPr>
              <w:t>how and why ideologies, constructions, scripts, and other broad generalizations about groups are produced, replicated, adapted over time, and/or persist or manifest in oppressive beliefs and behaviors</w:t>
            </w:r>
            <w:r>
              <w:rPr>
                <w:rFonts w:eastAsiaTheme="minorEastAsia"/>
                <w:sz w:val="20"/>
                <w:szCs w:val="20"/>
              </w:rPr>
              <w:t>.</w:t>
            </w:r>
          </w:p>
        </w:tc>
        <w:tc>
          <w:tcPr>
            <w:tcW w:w="2984" w:type="dxa"/>
            <w:vAlign w:val="center"/>
          </w:tcPr>
          <w:p w14:paraId="5B731E9B" w14:textId="77777777" w:rsidR="0083051A" w:rsidRPr="005104A5" w:rsidRDefault="0083051A" w:rsidP="0083051A">
            <w:pPr>
              <w:spacing w:after="0" w:line="240" w:lineRule="auto"/>
              <w:jc w:val="center"/>
              <w:outlineLvl w:val="3"/>
              <w:rPr>
                <w:rFonts w:eastAsia="Calibri" w:cstheme="minorHAnsi"/>
                <w:sz w:val="20"/>
                <w:szCs w:val="20"/>
              </w:rPr>
            </w:pPr>
          </w:p>
        </w:tc>
        <w:tc>
          <w:tcPr>
            <w:tcW w:w="3079" w:type="dxa"/>
            <w:vAlign w:val="center"/>
          </w:tcPr>
          <w:p w14:paraId="6A69FBA5" w14:textId="77777777" w:rsidR="0083051A" w:rsidRPr="005104A5" w:rsidRDefault="0083051A" w:rsidP="0083051A">
            <w:pPr>
              <w:spacing w:after="0" w:line="240" w:lineRule="auto"/>
              <w:jc w:val="center"/>
              <w:outlineLvl w:val="3"/>
              <w:rPr>
                <w:rFonts w:eastAsia="Calibri" w:cstheme="minorHAnsi"/>
                <w:sz w:val="20"/>
                <w:szCs w:val="20"/>
              </w:rPr>
            </w:pPr>
          </w:p>
        </w:tc>
      </w:tr>
      <w:tr w:rsidR="0083051A" w:rsidRPr="005104A5" w14:paraId="0A14A941" w14:textId="77777777" w:rsidTr="0083051A">
        <w:trPr>
          <w:cantSplit/>
          <w:trHeight w:val="1223"/>
        </w:trPr>
        <w:tc>
          <w:tcPr>
            <w:tcW w:w="1615" w:type="dxa"/>
            <w:shd w:val="clear" w:color="auto" w:fill="D9D9D9" w:themeFill="background1" w:themeFillShade="D9"/>
            <w:vAlign w:val="center"/>
          </w:tcPr>
          <w:p w14:paraId="1E924887" w14:textId="77777777" w:rsidR="0083051A" w:rsidRPr="005104A5" w:rsidRDefault="0083051A" w:rsidP="0083051A">
            <w:pPr>
              <w:spacing w:after="0" w:line="240" w:lineRule="auto"/>
              <w:jc w:val="center"/>
              <w:outlineLvl w:val="3"/>
              <w:rPr>
                <w:rFonts w:eastAsia="Calibri" w:cstheme="minorHAnsi"/>
                <w:b/>
                <w:bCs/>
                <w:sz w:val="20"/>
                <w:szCs w:val="20"/>
              </w:rPr>
            </w:pPr>
            <w:r w:rsidRPr="005104A5">
              <w:rPr>
                <w:rFonts w:cstheme="minorHAnsi"/>
                <w:b/>
                <w:bCs/>
                <w:sz w:val="20"/>
                <w:szCs w:val="20"/>
              </w:rPr>
              <w:t>Written Communication</w:t>
            </w:r>
          </w:p>
        </w:tc>
        <w:tc>
          <w:tcPr>
            <w:tcW w:w="2847" w:type="dxa"/>
            <w:shd w:val="clear" w:color="auto" w:fill="D9D9D9" w:themeFill="background1" w:themeFillShade="D9"/>
            <w:vAlign w:val="center"/>
          </w:tcPr>
          <w:p w14:paraId="6CF51278" w14:textId="77777777" w:rsidR="0083051A" w:rsidRPr="008E5170" w:rsidRDefault="0083051A" w:rsidP="0083051A">
            <w:pPr>
              <w:spacing w:after="0" w:line="240" w:lineRule="auto"/>
              <w:jc w:val="center"/>
              <w:outlineLvl w:val="3"/>
              <w:rPr>
                <w:rFonts w:cstheme="minorHAnsi"/>
                <w:sz w:val="20"/>
                <w:szCs w:val="20"/>
                <w:u w:val="single"/>
              </w:rPr>
            </w:pPr>
            <w:r w:rsidRPr="008E5170">
              <w:rPr>
                <w:rFonts w:cstheme="minorHAnsi"/>
                <w:sz w:val="20"/>
                <w:szCs w:val="20"/>
                <w:u w:val="single"/>
              </w:rPr>
              <w:t>Communicate</w:t>
            </w:r>
            <w:r w:rsidRPr="008E5170">
              <w:rPr>
                <w:rFonts w:cstheme="minorHAnsi"/>
                <w:sz w:val="20"/>
                <w:szCs w:val="20"/>
              </w:rPr>
              <w:t xml:space="preserve"> about power, privilege, equity, and/or justice in written forms appropriate to the discipline</w:t>
            </w:r>
            <w:r>
              <w:rPr>
                <w:rFonts w:cstheme="minorHAnsi"/>
                <w:sz w:val="20"/>
                <w:szCs w:val="20"/>
              </w:rPr>
              <w:t>.</w:t>
            </w:r>
          </w:p>
        </w:tc>
        <w:tc>
          <w:tcPr>
            <w:tcW w:w="2984" w:type="dxa"/>
            <w:vAlign w:val="center"/>
          </w:tcPr>
          <w:p w14:paraId="10D284FA" w14:textId="77777777" w:rsidR="0083051A" w:rsidRPr="005104A5" w:rsidRDefault="0083051A" w:rsidP="0083051A">
            <w:pPr>
              <w:spacing w:after="0" w:line="240" w:lineRule="auto"/>
              <w:jc w:val="center"/>
              <w:outlineLvl w:val="3"/>
              <w:rPr>
                <w:rFonts w:eastAsia="Calibri" w:cstheme="minorHAnsi"/>
                <w:sz w:val="20"/>
                <w:szCs w:val="20"/>
              </w:rPr>
            </w:pPr>
          </w:p>
        </w:tc>
        <w:tc>
          <w:tcPr>
            <w:tcW w:w="3079" w:type="dxa"/>
            <w:vAlign w:val="center"/>
          </w:tcPr>
          <w:p w14:paraId="77441633" w14:textId="77777777" w:rsidR="0083051A" w:rsidRPr="005104A5" w:rsidRDefault="0083051A" w:rsidP="0083051A">
            <w:pPr>
              <w:spacing w:after="0" w:line="240" w:lineRule="auto"/>
              <w:jc w:val="center"/>
              <w:outlineLvl w:val="3"/>
              <w:rPr>
                <w:rFonts w:eastAsia="Calibri" w:cstheme="minorHAnsi"/>
                <w:sz w:val="20"/>
                <w:szCs w:val="20"/>
              </w:rPr>
            </w:pPr>
          </w:p>
        </w:tc>
      </w:tr>
    </w:tbl>
    <w:p w14:paraId="21D8EE1D" w14:textId="0CC8EBA7" w:rsidR="0000083E" w:rsidRDefault="0000083E" w:rsidP="0000083E">
      <w:pPr>
        <w:spacing w:line="288" w:lineRule="auto"/>
        <w:ind w:left="-540" w:firstLine="720"/>
        <w:outlineLvl w:val="3"/>
      </w:pPr>
    </w:p>
    <w:p w14:paraId="1305250F" w14:textId="77777777" w:rsidR="0000083E" w:rsidRDefault="0000083E" w:rsidP="0000083E">
      <w:pPr>
        <w:spacing w:line="288" w:lineRule="auto"/>
        <w:ind w:left="-540" w:firstLine="720"/>
        <w:outlineLvl w:val="3"/>
      </w:pPr>
    </w:p>
    <w:p w14:paraId="1F4FED31" w14:textId="075396AE" w:rsidR="00C12ABA" w:rsidRPr="0083051A" w:rsidRDefault="00C12ABA" w:rsidP="0083051A">
      <w:pPr>
        <w:spacing w:line="288" w:lineRule="auto"/>
        <w:outlineLvl w:val="3"/>
        <w:rPr>
          <w:rFonts w:eastAsia="Calibri" w:cstheme="minorHAnsi"/>
          <w:i/>
          <w:iCs/>
          <w:sz w:val="20"/>
          <w:szCs w:val="20"/>
        </w:rPr>
      </w:pPr>
    </w:p>
    <w:p w14:paraId="584B2660" w14:textId="77777777" w:rsidR="00794C42" w:rsidRPr="00D675A1" w:rsidRDefault="00794C42" w:rsidP="00C12ABA">
      <w:pPr>
        <w:rPr>
          <w:rFonts w:cstheme="minorHAnsi"/>
          <w:sz w:val="20"/>
          <w:szCs w:val="20"/>
        </w:rPr>
      </w:pPr>
    </w:p>
    <w:sectPr w:rsidR="00794C42" w:rsidRPr="00D675A1" w:rsidSect="00C67703">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8C05F" w14:textId="77777777" w:rsidR="007E522F" w:rsidRDefault="007E522F" w:rsidP="00D675A1">
      <w:pPr>
        <w:spacing w:after="0" w:line="240" w:lineRule="auto"/>
      </w:pPr>
      <w:r>
        <w:separator/>
      </w:r>
    </w:p>
  </w:endnote>
  <w:endnote w:type="continuationSeparator" w:id="0">
    <w:p w14:paraId="31C1BF95" w14:textId="77777777" w:rsidR="007E522F" w:rsidRDefault="007E522F" w:rsidP="00D67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ITC Stone Sans Std Medium">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5BF2F" w14:textId="77777777" w:rsidR="007E522F" w:rsidRDefault="007E522F" w:rsidP="00D675A1">
      <w:pPr>
        <w:spacing w:after="0" w:line="240" w:lineRule="auto"/>
      </w:pPr>
      <w:r>
        <w:separator/>
      </w:r>
    </w:p>
  </w:footnote>
  <w:footnote w:type="continuationSeparator" w:id="0">
    <w:p w14:paraId="51EC23CB" w14:textId="77777777" w:rsidR="007E522F" w:rsidRDefault="007E522F" w:rsidP="00D675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531D"/>
    <w:multiLevelType w:val="multilevel"/>
    <w:tmpl w:val="92DC9A22"/>
    <w:lvl w:ilvl="0">
      <w:start w:val="1"/>
      <w:numFmt w:val="bullet"/>
      <w:lvlText w:val=""/>
      <w:lvlJc w:val="left"/>
      <w:pPr>
        <w:tabs>
          <w:tab w:val="num" w:pos="936"/>
        </w:tabs>
        <w:ind w:left="936" w:hanging="360"/>
      </w:pPr>
      <w:rPr>
        <w:rFonts w:ascii="Symbol" w:hAnsi="Symbol" w:hint="default"/>
      </w:rPr>
    </w:lvl>
    <w:lvl w:ilvl="1">
      <w:start w:val="1"/>
      <w:numFmt w:val="decimal"/>
      <w:lvlText w:val="%2."/>
      <w:lvlJc w:val="left"/>
      <w:pPr>
        <w:tabs>
          <w:tab w:val="num" w:pos="1656"/>
        </w:tabs>
        <w:ind w:left="1656" w:hanging="360"/>
      </w:pPr>
    </w:lvl>
    <w:lvl w:ilvl="2">
      <w:start w:val="1"/>
      <w:numFmt w:val="decimal"/>
      <w:lvlText w:val="%3."/>
      <w:lvlJc w:val="left"/>
      <w:pPr>
        <w:tabs>
          <w:tab w:val="num" w:pos="2376"/>
        </w:tabs>
        <w:ind w:left="2376" w:hanging="360"/>
      </w:pPr>
    </w:lvl>
    <w:lvl w:ilvl="3">
      <w:start w:val="1"/>
      <w:numFmt w:val="decimal"/>
      <w:lvlText w:val="%4."/>
      <w:lvlJc w:val="left"/>
      <w:pPr>
        <w:tabs>
          <w:tab w:val="num" w:pos="3096"/>
        </w:tabs>
        <w:ind w:left="3096" w:hanging="360"/>
      </w:pPr>
    </w:lvl>
    <w:lvl w:ilvl="4">
      <w:start w:val="1"/>
      <w:numFmt w:val="decimal"/>
      <w:lvlText w:val="%5."/>
      <w:lvlJc w:val="left"/>
      <w:pPr>
        <w:tabs>
          <w:tab w:val="num" w:pos="3816"/>
        </w:tabs>
        <w:ind w:left="3816" w:hanging="360"/>
      </w:pPr>
    </w:lvl>
    <w:lvl w:ilvl="5">
      <w:start w:val="1"/>
      <w:numFmt w:val="decimal"/>
      <w:lvlText w:val="%6."/>
      <w:lvlJc w:val="left"/>
      <w:pPr>
        <w:tabs>
          <w:tab w:val="num" w:pos="4536"/>
        </w:tabs>
        <w:ind w:left="4536" w:hanging="360"/>
      </w:pPr>
    </w:lvl>
    <w:lvl w:ilvl="6">
      <w:start w:val="1"/>
      <w:numFmt w:val="decimal"/>
      <w:lvlText w:val="%7."/>
      <w:lvlJc w:val="left"/>
      <w:pPr>
        <w:tabs>
          <w:tab w:val="num" w:pos="5256"/>
        </w:tabs>
        <w:ind w:left="5256" w:hanging="360"/>
      </w:pPr>
    </w:lvl>
    <w:lvl w:ilvl="7">
      <w:start w:val="1"/>
      <w:numFmt w:val="decimal"/>
      <w:lvlText w:val="%8."/>
      <w:lvlJc w:val="left"/>
      <w:pPr>
        <w:tabs>
          <w:tab w:val="num" w:pos="5976"/>
        </w:tabs>
        <w:ind w:left="5976" w:hanging="360"/>
      </w:pPr>
    </w:lvl>
    <w:lvl w:ilvl="8">
      <w:start w:val="1"/>
      <w:numFmt w:val="decimal"/>
      <w:lvlText w:val="%9."/>
      <w:lvlJc w:val="left"/>
      <w:pPr>
        <w:tabs>
          <w:tab w:val="num" w:pos="6696"/>
        </w:tabs>
        <w:ind w:left="6696" w:hanging="360"/>
      </w:pPr>
    </w:lvl>
  </w:abstractNum>
  <w:abstractNum w:abstractNumId="1" w15:restartNumberingAfterBreak="0">
    <w:nsid w:val="04BB26A8"/>
    <w:multiLevelType w:val="hybridMultilevel"/>
    <w:tmpl w:val="80FE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46803"/>
    <w:multiLevelType w:val="hybridMultilevel"/>
    <w:tmpl w:val="F7182006"/>
    <w:lvl w:ilvl="0" w:tplc="04090001">
      <w:start w:val="1"/>
      <w:numFmt w:val="bullet"/>
      <w:lvlText w:val=""/>
      <w:lvlJc w:val="left"/>
      <w:pPr>
        <w:ind w:left="427" w:hanging="360"/>
      </w:pPr>
      <w:rPr>
        <w:rFonts w:ascii="Symbol" w:hAnsi="Symbol" w:hint="default"/>
      </w:rPr>
    </w:lvl>
    <w:lvl w:ilvl="1" w:tplc="04090003" w:tentative="1">
      <w:start w:val="1"/>
      <w:numFmt w:val="bullet"/>
      <w:lvlText w:val="o"/>
      <w:lvlJc w:val="left"/>
      <w:pPr>
        <w:ind w:left="1147" w:hanging="360"/>
      </w:pPr>
      <w:rPr>
        <w:rFonts w:ascii="Courier New" w:hAnsi="Courier New" w:cs="Courier New" w:hint="default"/>
      </w:rPr>
    </w:lvl>
    <w:lvl w:ilvl="2" w:tplc="04090005" w:tentative="1">
      <w:start w:val="1"/>
      <w:numFmt w:val="bullet"/>
      <w:lvlText w:val=""/>
      <w:lvlJc w:val="left"/>
      <w:pPr>
        <w:ind w:left="1867" w:hanging="360"/>
      </w:pPr>
      <w:rPr>
        <w:rFonts w:ascii="Wingdings" w:hAnsi="Wingdings" w:hint="default"/>
      </w:rPr>
    </w:lvl>
    <w:lvl w:ilvl="3" w:tplc="04090001" w:tentative="1">
      <w:start w:val="1"/>
      <w:numFmt w:val="bullet"/>
      <w:lvlText w:val=""/>
      <w:lvlJc w:val="left"/>
      <w:pPr>
        <w:ind w:left="2587" w:hanging="360"/>
      </w:pPr>
      <w:rPr>
        <w:rFonts w:ascii="Symbol" w:hAnsi="Symbol" w:hint="default"/>
      </w:rPr>
    </w:lvl>
    <w:lvl w:ilvl="4" w:tplc="04090003" w:tentative="1">
      <w:start w:val="1"/>
      <w:numFmt w:val="bullet"/>
      <w:lvlText w:val="o"/>
      <w:lvlJc w:val="left"/>
      <w:pPr>
        <w:ind w:left="3307" w:hanging="360"/>
      </w:pPr>
      <w:rPr>
        <w:rFonts w:ascii="Courier New" w:hAnsi="Courier New" w:cs="Courier New" w:hint="default"/>
      </w:rPr>
    </w:lvl>
    <w:lvl w:ilvl="5" w:tplc="04090005" w:tentative="1">
      <w:start w:val="1"/>
      <w:numFmt w:val="bullet"/>
      <w:lvlText w:val=""/>
      <w:lvlJc w:val="left"/>
      <w:pPr>
        <w:ind w:left="4027" w:hanging="360"/>
      </w:pPr>
      <w:rPr>
        <w:rFonts w:ascii="Wingdings" w:hAnsi="Wingdings" w:hint="default"/>
      </w:rPr>
    </w:lvl>
    <w:lvl w:ilvl="6" w:tplc="04090001" w:tentative="1">
      <w:start w:val="1"/>
      <w:numFmt w:val="bullet"/>
      <w:lvlText w:val=""/>
      <w:lvlJc w:val="left"/>
      <w:pPr>
        <w:ind w:left="4747" w:hanging="360"/>
      </w:pPr>
      <w:rPr>
        <w:rFonts w:ascii="Symbol" w:hAnsi="Symbol" w:hint="default"/>
      </w:rPr>
    </w:lvl>
    <w:lvl w:ilvl="7" w:tplc="04090003" w:tentative="1">
      <w:start w:val="1"/>
      <w:numFmt w:val="bullet"/>
      <w:lvlText w:val="o"/>
      <w:lvlJc w:val="left"/>
      <w:pPr>
        <w:ind w:left="5467" w:hanging="360"/>
      </w:pPr>
      <w:rPr>
        <w:rFonts w:ascii="Courier New" w:hAnsi="Courier New" w:cs="Courier New" w:hint="default"/>
      </w:rPr>
    </w:lvl>
    <w:lvl w:ilvl="8" w:tplc="04090005" w:tentative="1">
      <w:start w:val="1"/>
      <w:numFmt w:val="bullet"/>
      <w:lvlText w:val=""/>
      <w:lvlJc w:val="left"/>
      <w:pPr>
        <w:ind w:left="6187" w:hanging="360"/>
      </w:pPr>
      <w:rPr>
        <w:rFonts w:ascii="Wingdings" w:hAnsi="Wingdings" w:hint="default"/>
      </w:rPr>
    </w:lvl>
  </w:abstractNum>
  <w:abstractNum w:abstractNumId="3" w15:restartNumberingAfterBreak="0">
    <w:nsid w:val="1AAB5253"/>
    <w:multiLevelType w:val="hybridMultilevel"/>
    <w:tmpl w:val="1A5EE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D5B4C"/>
    <w:multiLevelType w:val="hybridMultilevel"/>
    <w:tmpl w:val="66A2D950"/>
    <w:lvl w:ilvl="0" w:tplc="04090001">
      <w:start w:val="1"/>
      <w:numFmt w:val="bullet"/>
      <w:lvlText w:val=""/>
      <w:lvlJc w:val="left"/>
      <w:pPr>
        <w:ind w:left="427" w:hanging="360"/>
      </w:pPr>
      <w:rPr>
        <w:rFonts w:ascii="Symbol" w:hAnsi="Symbol" w:hint="default"/>
      </w:rPr>
    </w:lvl>
    <w:lvl w:ilvl="1" w:tplc="04090003" w:tentative="1">
      <w:start w:val="1"/>
      <w:numFmt w:val="bullet"/>
      <w:lvlText w:val="o"/>
      <w:lvlJc w:val="left"/>
      <w:pPr>
        <w:ind w:left="1147" w:hanging="360"/>
      </w:pPr>
      <w:rPr>
        <w:rFonts w:ascii="Courier New" w:hAnsi="Courier New" w:cs="Courier New" w:hint="default"/>
      </w:rPr>
    </w:lvl>
    <w:lvl w:ilvl="2" w:tplc="04090005" w:tentative="1">
      <w:start w:val="1"/>
      <w:numFmt w:val="bullet"/>
      <w:lvlText w:val=""/>
      <w:lvlJc w:val="left"/>
      <w:pPr>
        <w:ind w:left="1867" w:hanging="360"/>
      </w:pPr>
      <w:rPr>
        <w:rFonts w:ascii="Wingdings" w:hAnsi="Wingdings" w:hint="default"/>
      </w:rPr>
    </w:lvl>
    <w:lvl w:ilvl="3" w:tplc="04090001" w:tentative="1">
      <w:start w:val="1"/>
      <w:numFmt w:val="bullet"/>
      <w:lvlText w:val=""/>
      <w:lvlJc w:val="left"/>
      <w:pPr>
        <w:ind w:left="2587" w:hanging="360"/>
      </w:pPr>
      <w:rPr>
        <w:rFonts w:ascii="Symbol" w:hAnsi="Symbol" w:hint="default"/>
      </w:rPr>
    </w:lvl>
    <w:lvl w:ilvl="4" w:tplc="04090003" w:tentative="1">
      <w:start w:val="1"/>
      <w:numFmt w:val="bullet"/>
      <w:lvlText w:val="o"/>
      <w:lvlJc w:val="left"/>
      <w:pPr>
        <w:ind w:left="3307" w:hanging="360"/>
      </w:pPr>
      <w:rPr>
        <w:rFonts w:ascii="Courier New" w:hAnsi="Courier New" w:cs="Courier New" w:hint="default"/>
      </w:rPr>
    </w:lvl>
    <w:lvl w:ilvl="5" w:tplc="04090005" w:tentative="1">
      <w:start w:val="1"/>
      <w:numFmt w:val="bullet"/>
      <w:lvlText w:val=""/>
      <w:lvlJc w:val="left"/>
      <w:pPr>
        <w:ind w:left="4027" w:hanging="360"/>
      </w:pPr>
      <w:rPr>
        <w:rFonts w:ascii="Wingdings" w:hAnsi="Wingdings" w:hint="default"/>
      </w:rPr>
    </w:lvl>
    <w:lvl w:ilvl="6" w:tplc="04090001" w:tentative="1">
      <w:start w:val="1"/>
      <w:numFmt w:val="bullet"/>
      <w:lvlText w:val=""/>
      <w:lvlJc w:val="left"/>
      <w:pPr>
        <w:ind w:left="4747" w:hanging="360"/>
      </w:pPr>
      <w:rPr>
        <w:rFonts w:ascii="Symbol" w:hAnsi="Symbol" w:hint="default"/>
      </w:rPr>
    </w:lvl>
    <w:lvl w:ilvl="7" w:tplc="04090003" w:tentative="1">
      <w:start w:val="1"/>
      <w:numFmt w:val="bullet"/>
      <w:lvlText w:val="o"/>
      <w:lvlJc w:val="left"/>
      <w:pPr>
        <w:ind w:left="5467" w:hanging="360"/>
      </w:pPr>
      <w:rPr>
        <w:rFonts w:ascii="Courier New" w:hAnsi="Courier New" w:cs="Courier New" w:hint="default"/>
      </w:rPr>
    </w:lvl>
    <w:lvl w:ilvl="8" w:tplc="04090005" w:tentative="1">
      <w:start w:val="1"/>
      <w:numFmt w:val="bullet"/>
      <w:lvlText w:val=""/>
      <w:lvlJc w:val="left"/>
      <w:pPr>
        <w:ind w:left="6187" w:hanging="360"/>
      </w:pPr>
      <w:rPr>
        <w:rFonts w:ascii="Wingdings" w:hAnsi="Wingdings" w:hint="default"/>
      </w:rPr>
    </w:lvl>
  </w:abstractNum>
  <w:abstractNum w:abstractNumId="5" w15:restartNumberingAfterBreak="0">
    <w:nsid w:val="2DEF62EF"/>
    <w:multiLevelType w:val="hybridMultilevel"/>
    <w:tmpl w:val="7E4C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A97414"/>
    <w:multiLevelType w:val="hybridMultilevel"/>
    <w:tmpl w:val="658AF0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7D968B7"/>
    <w:multiLevelType w:val="hybridMultilevel"/>
    <w:tmpl w:val="1ED06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B94B8D"/>
    <w:multiLevelType w:val="hybridMultilevel"/>
    <w:tmpl w:val="D7B0FA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71741426">
    <w:abstractNumId w:val="8"/>
  </w:num>
  <w:num w:numId="2" w16cid:durableId="55787365">
    <w:abstractNumId w:val="6"/>
  </w:num>
  <w:num w:numId="3" w16cid:durableId="347878747">
    <w:abstractNumId w:val="2"/>
  </w:num>
  <w:num w:numId="4" w16cid:durableId="1501578309">
    <w:abstractNumId w:val="4"/>
  </w:num>
  <w:num w:numId="5" w16cid:durableId="1921014983">
    <w:abstractNumId w:val="1"/>
  </w:num>
  <w:num w:numId="6" w16cid:durableId="226647139">
    <w:abstractNumId w:val="0"/>
  </w:num>
  <w:num w:numId="7" w16cid:durableId="769815246">
    <w:abstractNumId w:val="5"/>
  </w:num>
  <w:num w:numId="8" w16cid:durableId="23138862">
    <w:abstractNumId w:val="3"/>
  </w:num>
  <w:num w:numId="9" w16cid:durableId="11951194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03"/>
    <w:rsid w:val="0000083E"/>
    <w:rsid w:val="00022078"/>
    <w:rsid w:val="0037352C"/>
    <w:rsid w:val="00375102"/>
    <w:rsid w:val="004A14A4"/>
    <w:rsid w:val="00513C95"/>
    <w:rsid w:val="00584F87"/>
    <w:rsid w:val="005A7624"/>
    <w:rsid w:val="005F7B82"/>
    <w:rsid w:val="00675B66"/>
    <w:rsid w:val="006A1F24"/>
    <w:rsid w:val="006B7257"/>
    <w:rsid w:val="007342A1"/>
    <w:rsid w:val="00757BF0"/>
    <w:rsid w:val="00794C42"/>
    <w:rsid w:val="007C3EB5"/>
    <w:rsid w:val="007E522F"/>
    <w:rsid w:val="00813FE4"/>
    <w:rsid w:val="0083051A"/>
    <w:rsid w:val="0085111F"/>
    <w:rsid w:val="00864A82"/>
    <w:rsid w:val="008E5170"/>
    <w:rsid w:val="00934909"/>
    <w:rsid w:val="009742F6"/>
    <w:rsid w:val="00993FE7"/>
    <w:rsid w:val="009B03A3"/>
    <w:rsid w:val="00B7303E"/>
    <w:rsid w:val="00B75B8C"/>
    <w:rsid w:val="00B93BAA"/>
    <w:rsid w:val="00C12ABA"/>
    <w:rsid w:val="00C26323"/>
    <w:rsid w:val="00C67703"/>
    <w:rsid w:val="00CF35AD"/>
    <w:rsid w:val="00D04577"/>
    <w:rsid w:val="00D675A1"/>
    <w:rsid w:val="00DB46EE"/>
    <w:rsid w:val="00E3219D"/>
    <w:rsid w:val="00E41725"/>
    <w:rsid w:val="00F16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F1176"/>
  <w15:chartTrackingRefBased/>
  <w15:docId w15:val="{4C286CCF-476C-4586-9A2D-8178546D5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84F87"/>
    <w:pPr>
      <w:framePr w:w="7920" w:h="1980" w:hRule="exact" w:hSpace="180" w:wrap="auto" w:hAnchor="page" w:xAlign="center" w:yAlign="bottom"/>
      <w:spacing w:after="0" w:line="240" w:lineRule="auto"/>
      <w:ind w:left="2880"/>
    </w:pPr>
    <w:rPr>
      <w:rFonts w:ascii="ITC Stone Sans Std Medium" w:eastAsiaTheme="majorEastAsia" w:hAnsi="ITC Stone Sans Std Medium" w:cstheme="majorBidi"/>
      <w:sz w:val="24"/>
      <w:szCs w:val="24"/>
    </w:rPr>
  </w:style>
  <w:style w:type="table" w:customStyle="1" w:styleId="TableGrid1">
    <w:name w:val="Table Grid1"/>
    <w:basedOn w:val="TableNormal"/>
    <w:next w:val="TableGrid"/>
    <w:uiPriority w:val="59"/>
    <w:rsid w:val="00C67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67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303E"/>
    <w:pPr>
      <w:spacing w:after="0" w:line="276" w:lineRule="auto"/>
      <w:ind w:left="720"/>
      <w:contextualSpacing/>
    </w:pPr>
    <w:rPr>
      <w:rFonts w:eastAsiaTheme="minorEastAsia"/>
    </w:rPr>
  </w:style>
  <w:style w:type="paragraph" w:styleId="NormalWeb">
    <w:name w:val="Normal (Web)"/>
    <w:basedOn w:val="Normal"/>
    <w:uiPriority w:val="99"/>
    <w:semiHidden/>
    <w:unhideWhenUsed/>
    <w:rsid w:val="006A1F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1F24"/>
    <w:rPr>
      <w:b/>
      <w:bCs/>
    </w:rPr>
  </w:style>
  <w:style w:type="character" w:customStyle="1" w:styleId="apple-converted-space">
    <w:name w:val="apple-converted-space"/>
    <w:basedOn w:val="DefaultParagraphFont"/>
    <w:rsid w:val="006A1F24"/>
  </w:style>
  <w:style w:type="character" w:styleId="Emphasis">
    <w:name w:val="Emphasis"/>
    <w:basedOn w:val="DefaultParagraphFont"/>
    <w:uiPriority w:val="20"/>
    <w:qFormat/>
    <w:rsid w:val="006A1F24"/>
    <w:rPr>
      <w:i/>
      <w:iCs/>
    </w:rPr>
  </w:style>
  <w:style w:type="paragraph" w:styleId="Header">
    <w:name w:val="header"/>
    <w:basedOn w:val="Normal"/>
    <w:link w:val="HeaderChar"/>
    <w:uiPriority w:val="99"/>
    <w:unhideWhenUsed/>
    <w:rsid w:val="00D67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5A1"/>
  </w:style>
  <w:style w:type="paragraph" w:styleId="Footer">
    <w:name w:val="footer"/>
    <w:basedOn w:val="Normal"/>
    <w:link w:val="FooterChar"/>
    <w:uiPriority w:val="99"/>
    <w:unhideWhenUsed/>
    <w:rsid w:val="00D67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5A1"/>
  </w:style>
  <w:style w:type="paragraph" w:styleId="NoSpacing">
    <w:name w:val="No Spacing"/>
    <w:link w:val="NoSpacingChar"/>
    <w:uiPriority w:val="1"/>
    <w:qFormat/>
    <w:rsid w:val="00D675A1"/>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D675A1"/>
    <w:rPr>
      <w:rFonts w:eastAsiaTheme="minorEastAsia"/>
      <w:lang w:eastAsia="zh-CN"/>
    </w:rPr>
  </w:style>
  <w:style w:type="character" w:styleId="Hyperlink">
    <w:name w:val="Hyperlink"/>
    <w:basedOn w:val="DefaultParagraphFont"/>
    <w:uiPriority w:val="99"/>
    <w:unhideWhenUsed/>
    <w:rsid w:val="0083051A"/>
    <w:rPr>
      <w:color w:val="0563C1" w:themeColor="hyperlink"/>
      <w:u w:val="single"/>
    </w:rPr>
  </w:style>
  <w:style w:type="character" w:styleId="UnresolvedMention">
    <w:name w:val="Unresolved Mention"/>
    <w:basedOn w:val="DefaultParagraphFont"/>
    <w:uiPriority w:val="99"/>
    <w:semiHidden/>
    <w:unhideWhenUsed/>
    <w:rsid w:val="00830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43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core.wsu.edu/faculty/curriculum/eqj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Jeannie</dc:creator>
  <cp:keywords/>
  <dc:description/>
  <cp:lastModifiedBy>Stratton, Clif</cp:lastModifiedBy>
  <cp:revision>16</cp:revision>
  <dcterms:created xsi:type="dcterms:W3CDTF">2018-10-05T20:33:00Z</dcterms:created>
  <dcterms:modified xsi:type="dcterms:W3CDTF">2022-10-07T17:17:00Z</dcterms:modified>
</cp:coreProperties>
</file>